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E2F8" w14:textId="77777777" w:rsidR="00F4750E" w:rsidRDefault="00F4750E" w:rsidP="00F4750E">
      <w:pPr>
        <w:pStyle w:val="Header"/>
        <w:tabs>
          <w:tab w:val="clear" w:pos="9360"/>
        </w:tabs>
        <w:spacing w:after="360"/>
        <w:ind w:left="-360" w:right="-360"/>
        <w:jc w:val="center"/>
      </w:pPr>
      <w:r>
        <w:rPr>
          <w:noProof/>
        </w:rPr>
        <w:drawing>
          <wp:inline distT="0" distB="0" distL="0" distR="0" wp14:anchorId="44B01914" wp14:editId="32BEFB85">
            <wp:extent cx="4454391" cy="1053465"/>
            <wp:effectExtent l="0" t="0" r="3810" b="0"/>
            <wp:docPr id="3" name="Picture 3" descr="Center for Transformative Infrastructure Preservation and Sustainability (CTIP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enter for Transformative Infrastructure Preservation and Sustainability (CTIP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391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9795" w14:textId="68D16F75" w:rsidR="007A6340" w:rsidRPr="00F4750E" w:rsidRDefault="00F4750E" w:rsidP="00F4750E">
      <w:r w:rsidRPr="00F4750E">
        <w:rPr>
          <w:noProof/>
        </w:rPr>
        <mc:AlternateContent>
          <mc:Choice Requires="wps">
            <w:drawing>
              <wp:inline distT="0" distB="0" distL="0" distR="0" wp14:anchorId="63C3DC54" wp14:editId="6BE87980">
                <wp:extent cx="6333214" cy="612250"/>
                <wp:effectExtent l="0" t="0" r="10795" b="14605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214" cy="612250"/>
                        </a:xfrm>
                        <a:prstGeom prst="rect">
                          <a:avLst/>
                        </a:prstGeom>
                        <a:solidFill>
                          <a:srgbClr val="17492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25E54" w14:textId="61539226" w:rsidR="00F4750E" w:rsidRPr="00AB66AA" w:rsidRDefault="00F4750E" w:rsidP="00F4750E">
                            <w:pPr>
                              <w:pStyle w:val="Heading1"/>
                              <w:rPr>
                                <w:b w:val="0"/>
                                <w:bCs/>
                              </w:rPr>
                            </w:pPr>
                            <w:r w:rsidRPr="00F4750E">
                              <w:t xml:space="preserve">A More Standardized Approach to Identify </w:t>
                            </w:r>
                            <w:r w:rsidR="00CA6F0D">
                              <w:t>and</w:t>
                            </w:r>
                            <w:r w:rsidRPr="00F4750E">
                              <w:t xml:space="preserve"> Understand the High-Injury Network</w:t>
                            </w:r>
                          </w:p>
                          <w:p w14:paraId="0B998786" w14:textId="3F236752" w:rsidR="00F4750E" w:rsidRPr="00B13DCC" w:rsidRDefault="00F4750E" w:rsidP="00F4750E">
                            <w:pPr>
                              <w:keepNext/>
                              <w:tabs>
                                <w:tab w:val="left" w:pos="3420"/>
                              </w:tabs>
                              <w:spacing w:after="6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13DC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18"/>
                              </w:rPr>
                              <w:t>CTIPS-</w:t>
                            </w:r>
                            <w:r w:rsidR="007F248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18"/>
                              </w:rPr>
                              <w:t>027</w:t>
                            </w:r>
                          </w:p>
                          <w:p w14:paraId="1BF0CC57" w14:textId="0513AD6E" w:rsidR="00F4750E" w:rsidRPr="00B13DCC" w:rsidRDefault="00F4750E" w:rsidP="00F4750E">
                            <w:pPr>
                              <w:tabs>
                                <w:tab w:val="left" w:pos="3420"/>
                              </w:tabs>
                              <w:spacing w:after="6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B13DC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Approved </w:t>
                            </w:r>
                            <w:r w:rsidR="007F248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18"/>
                              </w:rPr>
                              <w:t>/</w:t>
                            </w:r>
                            <w:r w:rsidR="007F248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18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18"/>
                              </w:rPr>
                              <w:t>/</w:t>
                            </w:r>
                            <w:r w:rsidR="007F248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1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182880" tIns="91440" rIns="182880" bIns="9144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C3D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width:498.7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" fillcolor="#17492c" strokecolor="black [3213]">
                <v:textbox style="mso-fit-shape-to-text:t" inset="14.4pt,7.2pt,14.4pt,7.2pt">
                  <w:txbxContent>
                    <w:p w14:paraId="31725E54" w14:textId="61539226" w:rsidR="00F4750E" w:rsidRPr="00AB66AA" w:rsidRDefault="00F4750E" w:rsidP="00F4750E">
                      <w:pPr>
                        <w:pStyle w:val="Heading1"/>
                        <w:rPr>
                          <w:b w:val="0"/>
                          <w:bCs/>
                        </w:rPr>
                      </w:pPr>
                      <w:r w:rsidRPr="00F4750E">
                        <w:t xml:space="preserve">A More Standardized Approach to Identify </w:t>
                      </w:r>
                      <w:r w:rsidR="00CA6F0D">
                        <w:t>and</w:t>
                      </w:r>
                      <w:r w:rsidRPr="00F4750E">
                        <w:t xml:space="preserve"> Understand the High-Injury Network</w:t>
                      </w:r>
                    </w:p>
                    <w:p w14:paraId="0B998786" w14:textId="3F236752" w:rsidR="00F4750E" w:rsidRPr="00B13DCC" w:rsidRDefault="00F4750E" w:rsidP="00F4750E">
                      <w:pPr>
                        <w:keepNext/>
                        <w:tabs>
                          <w:tab w:val="left" w:pos="3420"/>
                        </w:tabs>
                        <w:spacing w:after="60"/>
                        <w:rPr>
                          <w:rFonts w:ascii="Arial" w:hAnsi="Arial" w:cs="Arial"/>
                          <w:i/>
                          <w:iCs/>
                          <w:sz w:val="22"/>
                          <w:szCs w:val="18"/>
                        </w:rPr>
                      </w:pPr>
                      <w:r w:rsidRPr="00B13DCC">
                        <w:rPr>
                          <w:rFonts w:ascii="Arial" w:hAnsi="Arial" w:cs="Arial"/>
                          <w:i/>
                          <w:iCs/>
                          <w:sz w:val="22"/>
                          <w:szCs w:val="18"/>
                        </w:rPr>
                        <w:t>CTIPS-</w:t>
                      </w:r>
                      <w:r w:rsidR="007F2480">
                        <w:rPr>
                          <w:rFonts w:ascii="Arial" w:hAnsi="Arial" w:cs="Arial"/>
                          <w:i/>
                          <w:iCs/>
                          <w:sz w:val="22"/>
                          <w:szCs w:val="18"/>
                        </w:rPr>
                        <w:t>027</w:t>
                      </w:r>
                    </w:p>
                    <w:p w14:paraId="1BF0CC57" w14:textId="0513AD6E" w:rsidR="00F4750E" w:rsidRPr="00B13DCC" w:rsidRDefault="00F4750E" w:rsidP="00F4750E">
                      <w:pPr>
                        <w:tabs>
                          <w:tab w:val="left" w:pos="3420"/>
                        </w:tabs>
                        <w:spacing w:after="60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B13DCC">
                        <w:rPr>
                          <w:rFonts w:ascii="Arial" w:hAnsi="Arial" w:cs="Arial"/>
                          <w:i/>
                          <w:iCs/>
                          <w:sz w:val="22"/>
                          <w:szCs w:val="18"/>
                        </w:rPr>
                        <w:t xml:space="preserve">Approved </w:t>
                      </w:r>
                      <w:r w:rsidR="007F2480">
                        <w:rPr>
                          <w:rFonts w:ascii="Arial" w:hAnsi="Arial" w:cs="Arial"/>
                          <w:i/>
                          <w:iCs/>
                          <w:sz w:val="22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18"/>
                        </w:rPr>
                        <w:t>/</w:t>
                      </w:r>
                      <w:r w:rsidR="007F2480">
                        <w:rPr>
                          <w:rFonts w:ascii="Arial" w:hAnsi="Arial" w:cs="Arial"/>
                          <w:i/>
                          <w:iCs/>
                          <w:sz w:val="22"/>
                          <w:szCs w:val="18"/>
                        </w:rPr>
                        <w:t>17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18"/>
                        </w:rPr>
                        <w:t>/</w:t>
                      </w:r>
                      <w:r w:rsidR="007F2480">
                        <w:rPr>
                          <w:rFonts w:ascii="Arial" w:hAnsi="Arial" w:cs="Arial"/>
                          <w:i/>
                          <w:iCs/>
                          <w:sz w:val="22"/>
                          <w:szCs w:val="18"/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929798" w14:textId="3903F401" w:rsidR="007A6340" w:rsidRPr="007A6340" w:rsidRDefault="007A6340" w:rsidP="00BE4083">
      <w:pPr>
        <w:pStyle w:val="Heading2"/>
      </w:pPr>
      <w:r w:rsidRPr="007A6340">
        <w:t>Universit</w:t>
      </w:r>
      <w:r w:rsidR="00073055">
        <w:t>y</w:t>
      </w:r>
    </w:p>
    <w:p w14:paraId="2A4B1EF3" w14:textId="77777777" w:rsidR="00AF7E0D" w:rsidRDefault="00AF7E0D" w:rsidP="007A6340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University of Colorado Denver</w:t>
      </w:r>
    </w:p>
    <w:p w14:paraId="5592979C" w14:textId="67B48A5A" w:rsidR="007A6340" w:rsidRPr="007A6340" w:rsidRDefault="007A6340" w:rsidP="005C1DF3">
      <w:pPr>
        <w:pStyle w:val="Heading2"/>
      </w:pPr>
      <w:r w:rsidRPr="007A6340">
        <w:t>Principal Investigators</w:t>
      </w:r>
    </w:p>
    <w:p w14:paraId="14746F8A" w14:textId="77777777" w:rsidR="007A53FA" w:rsidRDefault="0027550C" w:rsidP="007A53FA">
      <w:pPr>
        <w:spacing w:after="0"/>
      </w:pPr>
      <w:r>
        <w:t>Wesley Marshall, PhD, PE</w:t>
      </w:r>
    </w:p>
    <w:p w14:paraId="564EADC7" w14:textId="77777777" w:rsidR="007A53FA" w:rsidRDefault="0027550C" w:rsidP="007A53FA">
      <w:pPr>
        <w:spacing w:after="0"/>
      </w:pPr>
      <w:r>
        <w:t>Professor of Civil Engineering</w:t>
      </w:r>
    </w:p>
    <w:p w14:paraId="70C699A1" w14:textId="417F159E" w:rsidR="007A53FA" w:rsidRDefault="0027550C" w:rsidP="007A53FA">
      <w:pPr>
        <w:spacing w:after="0"/>
      </w:pPr>
      <w:r>
        <w:t>University of Colorado Denver</w:t>
      </w:r>
    </w:p>
    <w:p w14:paraId="436D2FF5" w14:textId="10D0517E" w:rsidR="00491690" w:rsidRDefault="008E34C6" w:rsidP="007A53FA">
      <w:pPr>
        <w:spacing w:after="0"/>
      </w:pPr>
      <w:r>
        <w:t xml:space="preserve">Phone: </w:t>
      </w:r>
      <w:r w:rsidRPr="008E34C6">
        <w:t>(303)</w:t>
      </w:r>
      <w:r>
        <w:t xml:space="preserve"> </w:t>
      </w:r>
      <w:r w:rsidRPr="008E34C6">
        <w:t>315-7568</w:t>
      </w:r>
    </w:p>
    <w:p w14:paraId="10D395A1" w14:textId="48F71F20" w:rsidR="0027550C" w:rsidRDefault="007A53FA" w:rsidP="007A53FA">
      <w:pPr>
        <w:spacing w:after="0"/>
      </w:pPr>
      <w:r>
        <w:t>E</w:t>
      </w:r>
      <w:r w:rsidR="0027550C">
        <w:t>mail: wesley.marshall@ucdenver.edu</w:t>
      </w:r>
    </w:p>
    <w:p w14:paraId="67460D92" w14:textId="10B6D48E" w:rsidR="0027550C" w:rsidRDefault="0027550C" w:rsidP="007A53FA">
      <w:r>
        <w:t xml:space="preserve">ORCID: </w:t>
      </w:r>
      <w:r w:rsidR="006D7A20" w:rsidRPr="006D7A20">
        <w:t>0000-0002-3106-7342</w:t>
      </w:r>
    </w:p>
    <w:p w14:paraId="52957FE2" w14:textId="427FD932" w:rsidR="006D7A20" w:rsidRPr="00C454AB" w:rsidRDefault="006D7A20" w:rsidP="007A53FA">
      <w:pPr>
        <w:spacing w:after="0"/>
        <w:rPr>
          <w:rFonts w:cs="Times New Roman"/>
          <w:b/>
        </w:rPr>
      </w:pPr>
      <w:r>
        <w:rPr>
          <w:rFonts w:cs="Times New Roman"/>
        </w:rPr>
        <w:t>Aditi Misra, PhD</w:t>
      </w:r>
    </w:p>
    <w:p w14:paraId="4C57DB9D" w14:textId="77777777" w:rsidR="006D7A20" w:rsidRPr="00C454AB" w:rsidRDefault="006D7A20" w:rsidP="007A53FA">
      <w:pPr>
        <w:spacing w:after="0"/>
        <w:rPr>
          <w:rFonts w:cs="Times New Roman"/>
        </w:rPr>
      </w:pPr>
      <w:r>
        <w:rPr>
          <w:rFonts w:cs="Times New Roman"/>
        </w:rPr>
        <w:t xml:space="preserve">Assistant </w:t>
      </w:r>
      <w:r w:rsidRPr="00C454AB">
        <w:rPr>
          <w:rFonts w:cs="Times New Roman"/>
        </w:rPr>
        <w:t>Professor of Civil Engineering</w:t>
      </w:r>
    </w:p>
    <w:p w14:paraId="6191000F" w14:textId="69B7F8D4" w:rsidR="006D7A20" w:rsidRDefault="006D7A20" w:rsidP="007A53FA">
      <w:pPr>
        <w:spacing w:after="0"/>
        <w:rPr>
          <w:rFonts w:cs="Times New Roman"/>
        </w:rPr>
      </w:pPr>
      <w:r w:rsidRPr="00C454AB">
        <w:rPr>
          <w:rFonts w:cs="Times New Roman"/>
        </w:rPr>
        <w:t>University of Colorado Denver</w:t>
      </w:r>
    </w:p>
    <w:p w14:paraId="51D1BA9A" w14:textId="5FF187D0" w:rsidR="00821DEE" w:rsidRPr="00C454AB" w:rsidRDefault="00821DEE" w:rsidP="007A53FA">
      <w:pPr>
        <w:spacing w:after="0"/>
        <w:rPr>
          <w:rFonts w:cs="Times New Roman"/>
        </w:rPr>
      </w:pPr>
      <w:r>
        <w:rPr>
          <w:rFonts w:cs="Times New Roman"/>
        </w:rPr>
        <w:t xml:space="preserve">Phone: </w:t>
      </w:r>
      <w:r w:rsidR="006102F1" w:rsidRPr="006102F1">
        <w:rPr>
          <w:rFonts w:cs="Times New Roman"/>
        </w:rPr>
        <w:t>(404) 734-2376</w:t>
      </w:r>
    </w:p>
    <w:p w14:paraId="12BC1A1E" w14:textId="77777777" w:rsidR="006D7A20" w:rsidRPr="00C454AB" w:rsidRDefault="006D7A20" w:rsidP="007A53FA">
      <w:pPr>
        <w:spacing w:after="0"/>
        <w:rPr>
          <w:rFonts w:cs="Times New Roman"/>
        </w:rPr>
      </w:pPr>
      <w:r w:rsidRPr="00C454AB">
        <w:rPr>
          <w:rFonts w:cs="Times New Roman"/>
        </w:rPr>
        <w:t xml:space="preserve">Email: </w:t>
      </w:r>
      <w:r>
        <w:rPr>
          <w:rFonts w:cs="Times New Roman"/>
        </w:rPr>
        <w:t>aditi.misra</w:t>
      </w:r>
      <w:r w:rsidRPr="00C454AB">
        <w:rPr>
          <w:rFonts w:cs="Times New Roman"/>
        </w:rPr>
        <w:t>@ucdenver.edu</w:t>
      </w:r>
    </w:p>
    <w:p w14:paraId="55429C22" w14:textId="77777777" w:rsidR="006D7A20" w:rsidRPr="00C454AB" w:rsidRDefault="006D7A20" w:rsidP="007A53FA">
      <w:pPr>
        <w:rPr>
          <w:rFonts w:cs="Times New Roman"/>
        </w:rPr>
      </w:pPr>
      <w:r w:rsidRPr="00C454AB">
        <w:rPr>
          <w:rFonts w:cs="Times New Roman"/>
        </w:rPr>
        <w:t>ORCID: 0000-0002-5600-5973</w:t>
      </w:r>
    </w:p>
    <w:p w14:paraId="114B0FA9" w14:textId="1C4E4576" w:rsidR="006D7A20" w:rsidRPr="00C454AB" w:rsidRDefault="006D7A20" w:rsidP="007A53FA">
      <w:pPr>
        <w:spacing w:after="0"/>
        <w:rPr>
          <w:rFonts w:cs="Times New Roman"/>
          <w:b/>
        </w:rPr>
      </w:pPr>
      <w:r>
        <w:rPr>
          <w:rFonts w:cs="Times New Roman"/>
        </w:rPr>
        <w:t>Manish Shirgaokar, PhD</w:t>
      </w:r>
      <w:r w:rsidR="003B5329">
        <w:rPr>
          <w:rFonts w:cs="Times New Roman"/>
        </w:rPr>
        <w:t>, AICP</w:t>
      </w:r>
    </w:p>
    <w:p w14:paraId="07A48C28" w14:textId="1DB60203" w:rsidR="006D7A20" w:rsidRPr="00C454AB" w:rsidRDefault="00E26737" w:rsidP="007A53FA">
      <w:pPr>
        <w:spacing w:after="0"/>
        <w:rPr>
          <w:rFonts w:cs="Times New Roman"/>
        </w:rPr>
      </w:pPr>
      <w:r w:rsidRPr="00E26737">
        <w:rPr>
          <w:rFonts w:cs="Times New Roman"/>
        </w:rPr>
        <w:t>Associate</w:t>
      </w:r>
      <w:r w:rsidR="006D7A20" w:rsidRPr="00C454AB">
        <w:rPr>
          <w:rFonts w:cs="Times New Roman"/>
        </w:rPr>
        <w:t xml:space="preserve"> Professor of </w:t>
      </w:r>
      <w:r w:rsidR="006D7A20">
        <w:rPr>
          <w:rFonts w:cs="Times New Roman"/>
        </w:rPr>
        <w:t>Urban &amp; Regional Planning</w:t>
      </w:r>
    </w:p>
    <w:p w14:paraId="4EA19221" w14:textId="173D8F25" w:rsidR="006D7A20" w:rsidRDefault="006D7A20" w:rsidP="007A53FA">
      <w:pPr>
        <w:spacing w:after="0"/>
        <w:rPr>
          <w:rFonts w:cs="Times New Roman"/>
        </w:rPr>
      </w:pPr>
      <w:r w:rsidRPr="00C454AB">
        <w:rPr>
          <w:rFonts w:cs="Times New Roman"/>
        </w:rPr>
        <w:t>University of Colorado Denver</w:t>
      </w:r>
    </w:p>
    <w:p w14:paraId="2FA93DD5" w14:textId="1F6A13C0" w:rsidR="00BB06B6" w:rsidRPr="00C454AB" w:rsidRDefault="00BB06B6" w:rsidP="007A53FA">
      <w:pPr>
        <w:spacing w:after="0"/>
        <w:rPr>
          <w:rFonts w:cs="Times New Roman"/>
        </w:rPr>
      </w:pPr>
      <w:r>
        <w:rPr>
          <w:rFonts w:cs="Times New Roman"/>
        </w:rPr>
        <w:t xml:space="preserve">Phone: </w:t>
      </w:r>
      <w:r w:rsidRPr="00BB06B6">
        <w:rPr>
          <w:rFonts w:cs="Times New Roman"/>
        </w:rPr>
        <w:t>(303)</w:t>
      </w:r>
      <w:r>
        <w:rPr>
          <w:rFonts w:cs="Times New Roman"/>
        </w:rPr>
        <w:t xml:space="preserve"> </w:t>
      </w:r>
      <w:r w:rsidRPr="00BB06B6">
        <w:rPr>
          <w:rFonts w:cs="Times New Roman"/>
        </w:rPr>
        <w:t>315-0336</w:t>
      </w:r>
    </w:p>
    <w:p w14:paraId="276FCD4A" w14:textId="77777777" w:rsidR="006D7A20" w:rsidRPr="00C454AB" w:rsidRDefault="006D7A20" w:rsidP="007A53FA">
      <w:pPr>
        <w:spacing w:after="0"/>
        <w:rPr>
          <w:rFonts w:cs="Times New Roman"/>
        </w:rPr>
      </w:pPr>
      <w:r w:rsidRPr="00C454AB">
        <w:rPr>
          <w:rFonts w:cs="Times New Roman"/>
        </w:rPr>
        <w:t xml:space="preserve">Email: </w:t>
      </w:r>
      <w:r>
        <w:rPr>
          <w:rFonts w:cs="Times New Roman"/>
        </w:rPr>
        <w:t>manish.shirgaokar</w:t>
      </w:r>
      <w:r w:rsidRPr="00C454AB">
        <w:rPr>
          <w:rFonts w:cs="Times New Roman"/>
        </w:rPr>
        <w:t>@ucdenver.edu</w:t>
      </w:r>
    </w:p>
    <w:p w14:paraId="0723466F" w14:textId="7E7C527D" w:rsidR="006D7A20" w:rsidRDefault="006D7A20" w:rsidP="007A53FA">
      <w:pPr>
        <w:rPr>
          <w:rFonts w:cs="Times New Roman"/>
        </w:rPr>
      </w:pPr>
      <w:r w:rsidRPr="00C454AB">
        <w:rPr>
          <w:rFonts w:cs="Times New Roman"/>
        </w:rPr>
        <w:t>ORCID: 0000-0001-6458-1885</w:t>
      </w:r>
    </w:p>
    <w:p w14:paraId="5EAF36E8" w14:textId="6C1EA054" w:rsidR="00203382" w:rsidRPr="00C454AB" w:rsidRDefault="00203382" w:rsidP="007A53FA">
      <w:pPr>
        <w:spacing w:after="0"/>
        <w:rPr>
          <w:rFonts w:cs="Times New Roman"/>
          <w:b/>
        </w:rPr>
      </w:pPr>
      <w:r>
        <w:rPr>
          <w:rFonts w:cs="Times New Roman"/>
        </w:rPr>
        <w:t>Bruce Janson, Ph</w:t>
      </w:r>
      <w:r w:rsidR="00401926">
        <w:rPr>
          <w:rFonts w:cs="Times New Roman"/>
        </w:rPr>
        <w:t>D</w:t>
      </w:r>
    </w:p>
    <w:p w14:paraId="77965279" w14:textId="2D824F3C" w:rsidR="00203382" w:rsidRDefault="00203382" w:rsidP="007A53FA">
      <w:pPr>
        <w:spacing w:after="0"/>
        <w:rPr>
          <w:rFonts w:cs="Times New Roman"/>
        </w:rPr>
      </w:pPr>
      <w:r>
        <w:t>Professor Emeritus of Civil Engineering</w:t>
      </w:r>
    </w:p>
    <w:p w14:paraId="09BFBD3F" w14:textId="63783BA1" w:rsidR="00203382" w:rsidRDefault="00203382" w:rsidP="007A53FA">
      <w:pPr>
        <w:spacing w:after="0"/>
        <w:rPr>
          <w:rFonts w:cs="Times New Roman"/>
        </w:rPr>
      </w:pPr>
      <w:r w:rsidRPr="00C454AB">
        <w:rPr>
          <w:rFonts w:cs="Times New Roman"/>
        </w:rPr>
        <w:t>University of Colorado Denver</w:t>
      </w:r>
    </w:p>
    <w:p w14:paraId="16948906" w14:textId="48922FAB" w:rsidR="00D605E2" w:rsidRPr="00C454AB" w:rsidRDefault="00D605E2" w:rsidP="007A53FA">
      <w:pPr>
        <w:spacing w:after="0"/>
        <w:rPr>
          <w:rFonts w:cs="Times New Roman"/>
        </w:rPr>
      </w:pPr>
      <w:r>
        <w:rPr>
          <w:rFonts w:cs="Times New Roman"/>
        </w:rPr>
        <w:t xml:space="preserve">Phone: </w:t>
      </w:r>
      <w:r w:rsidRPr="00D605E2">
        <w:rPr>
          <w:rFonts w:cs="Times New Roman"/>
        </w:rPr>
        <w:t>(303)</w:t>
      </w:r>
      <w:r>
        <w:rPr>
          <w:rFonts w:cs="Times New Roman"/>
        </w:rPr>
        <w:t xml:space="preserve"> </w:t>
      </w:r>
      <w:r w:rsidRPr="00D605E2">
        <w:rPr>
          <w:rFonts w:cs="Times New Roman"/>
        </w:rPr>
        <w:t>315-7569</w:t>
      </w:r>
    </w:p>
    <w:p w14:paraId="1BCBD768" w14:textId="1C6474B9" w:rsidR="00203382" w:rsidRPr="00C454AB" w:rsidRDefault="00203382" w:rsidP="007A53FA">
      <w:pPr>
        <w:spacing w:after="0"/>
        <w:rPr>
          <w:rFonts w:cs="Times New Roman"/>
        </w:rPr>
      </w:pPr>
      <w:r w:rsidRPr="00C454AB">
        <w:rPr>
          <w:rFonts w:cs="Times New Roman"/>
        </w:rPr>
        <w:t xml:space="preserve">Email: </w:t>
      </w:r>
      <w:r>
        <w:rPr>
          <w:rFonts w:cs="Times New Roman"/>
        </w:rPr>
        <w:t>bruce.janson</w:t>
      </w:r>
      <w:r w:rsidRPr="00C454AB">
        <w:rPr>
          <w:rFonts w:cs="Times New Roman"/>
        </w:rPr>
        <w:t>@ucdenver.edu</w:t>
      </w:r>
    </w:p>
    <w:p w14:paraId="7A6B5FE5" w14:textId="30EC229B" w:rsidR="00203382" w:rsidRPr="00C454AB" w:rsidRDefault="00203382" w:rsidP="007A53FA">
      <w:pPr>
        <w:rPr>
          <w:rFonts w:cs="Times New Roman"/>
        </w:rPr>
      </w:pPr>
      <w:r w:rsidRPr="00C454AB">
        <w:rPr>
          <w:rFonts w:cs="Times New Roman"/>
        </w:rPr>
        <w:t xml:space="preserve">ORCID: </w:t>
      </w:r>
      <w:r w:rsidRPr="00EE659C">
        <w:rPr>
          <w:rFonts w:cs="Times New Roman"/>
        </w:rPr>
        <w:t>0000-0003-2901-8506</w:t>
      </w:r>
    </w:p>
    <w:p w14:paraId="5592979F" w14:textId="142C7D2F" w:rsidR="007A6340" w:rsidRPr="007A6340" w:rsidRDefault="007A6340" w:rsidP="000A32A7">
      <w:pPr>
        <w:pStyle w:val="Heading2"/>
      </w:pPr>
      <w:r w:rsidRPr="007A6340">
        <w:lastRenderedPageBreak/>
        <w:t>Research Needs</w:t>
      </w:r>
    </w:p>
    <w:p w14:paraId="701A3630" w14:textId="68A3651A" w:rsidR="0099137A" w:rsidRDefault="00CA3C24" w:rsidP="000A32A7">
      <w:r w:rsidRPr="00CA3C24">
        <w:rPr>
          <w:rFonts w:eastAsia="Times New Roman" w:cs="Times New Roman"/>
          <w:color w:val="000000"/>
          <w:szCs w:val="24"/>
        </w:rPr>
        <w:t>Many cities have developed their own version of a high-injury network analysis. The resulting</w:t>
      </w:r>
      <w:r>
        <w:rPr>
          <w:rFonts w:eastAsia="Times New Roman" w:cs="Times New Roman"/>
          <w:color w:val="000000"/>
          <w:szCs w:val="24"/>
        </w:rPr>
        <w:t xml:space="preserve"> analyses</w:t>
      </w:r>
      <w:r w:rsidRPr="00CA3C24">
        <w:rPr>
          <w:rFonts w:eastAsia="Times New Roman" w:cs="Times New Roman"/>
          <w:color w:val="000000"/>
          <w:szCs w:val="24"/>
        </w:rPr>
        <w:t xml:space="preserve"> characteristically show that 50% of their road fatalities take place on only 5% of streets. Or that 60% of fatalities take place on 6% of lane miles. Whatever the specifics, the underlying thinking </w:t>
      </w:r>
      <w:r w:rsidR="0099137A">
        <w:rPr>
          <w:rFonts w:eastAsia="Times New Roman" w:cs="Times New Roman"/>
          <w:color w:val="000000"/>
          <w:szCs w:val="24"/>
        </w:rPr>
        <w:t>has proven to be</w:t>
      </w:r>
      <w:r w:rsidRPr="00CA3C24">
        <w:rPr>
          <w:rFonts w:eastAsia="Times New Roman" w:cs="Times New Roman"/>
          <w:color w:val="000000"/>
          <w:szCs w:val="24"/>
        </w:rPr>
        <w:t xml:space="preserve"> beneficial for cities </w:t>
      </w:r>
      <w:r w:rsidR="0099137A">
        <w:rPr>
          <w:rFonts w:eastAsia="Times New Roman" w:cs="Times New Roman"/>
          <w:color w:val="000000"/>
          <w:szCs w:val="24"/>
        </w:rPr>
        <w:t>trying to</w:t>
      </w:r>
      <w:r w:rsidR="003D14CC">
        <w:rPr>
          <w:rFonts w:eastAsia="Times New Roman" w:cs="Times New Roman"/>
          <w:color w:val="000000"/>
          <w:szCs w:val="24"/>
        </w:rPr>
        <w:t xml:space="preserve"> </w:t>
      </w:r>
      <w:r w:rsidRPr="00CA3C24">
        <w:rPr>
          <w:rFonts w:eastAsia="Times New Roman" w:cs="Times New Roman"/>
          <w:color w:val="000000"/>
          <w:szCs w:val="24"/>
        </w:rPr>
        <w:t>identify their high-risk road segments</w:t>
      </w:r>
      <w:r w:rsidR="003D14CC">
        <w:rPr>
          <w:rFonts w:eastAsia="Times New Roman" w:cs="Times New Roman"/>
          <w:color w:val="000000"/>
          <w:szCs w:val="24"/>
        </w:rPr>
        <w:t xml:space="preserve"> in order to reduce or eliminate</w:t>
      </w:r>
      <w:r w:rsidR="003D14CC" w:rsidRPr="003D14CC">
        <w:rPr>
          <w:rFonts w:eastAsia="Times New Roman" w:cs="Times New Roman"/>
          <w:color w:val="000000"/>
          <w:szCs w:val="24"/>
        </w:rPr>
        <w:t xml:space="preserve"> traffic fatalities and severe injuries</w:t>
      </w:r>
      <w:r w:rsidRPr="00CA3C24">
        <w:rPr>
          <w:rFonts w:eastAsia="Times New Roman" w:cs="Times New Roman"/>
          <w:color w:val="000000"/>
          <w:szCs w:val="24"/>
        </w:rPr>
        <w:t>.</w:t>
      </w:r>
    </w:p>
    <w:p w14:paraId="749666CD" w14:textId="0A4E3F39" w:rsidR="0099137A" w:rsidRDefault="0099137A" w:rsidP="000A32A7">
      <w:r>
        <w:rPr>
          <w:rFonts w:eastAsia="Times New Roman" w:cs="Times New Roman"/>
          <w:color w:val="000000"/>
          <w:szCs w:val="24"/>
        </w:rPr>
        <w:t>Unfortunately</w:t>
      </w:r>
      <w:r w:rsidRPr="0099137A">
        <w:rPr>
          <w:rFonts w:eastAsia="Times New Roman" w:cs="Times New Roman"/>
          <w:color w:val="000000"/>
          <w:szCs w:val="24"/>
        </w:rPr>
        <w:t>,</w:t>
      </w:r>
      <w:r w:rsidRPr="0099137A">
        <w:t xml:space="preserve"> </w:t>
      </w:r>
      <w:r w:rsidRPr="0099137A">
        <w:rPr>
          <w:rFonts w:eastAsia="Times New Roman" w:cs="Times New Roman"/>
          <w:color w:val="000000"/>
          <w:szCs w:val="24"/>
        </w:rPr>
        <w:t>the ad-hoc and individualized nature of the underlying high-injury network processes lacks consistency.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3D14CC">
        <w:rPr>
          <w:rFonts w:eastAsia="Times New Roman" w:cs="Times New Roman"/>
          <w:color w:val="000000"/>
          <w:szCs w:val="24"/>
        </w:rPr>
        <w:t>This lack of a</w:t>
      </w:r>
      <w:r>
        <w:rPr>
          <w:rFonts w:eastAsia="Times New Roman" w:cs="Times New Roman"/>
          <w:color w:val="000000"/>
          <w:szCs w:val="24"/>
        </w:rPr>
        <w:t xml:space="preserve"> standardized </w:t>
      </w:r>
      <w:r w:rsidR="00A176AF">
        <w:rPr>
          <w:rFonts w:eastAsia="Times New Roman" w:cs="Times New Roman"/>
          <w:color w:val="000000"/>
          <w:szCs w:val="24"/>
        </w:rPr>
        <w:t>approach</w:t>
      </w:r>
      <w:r w:rsidR="003D14CC">
        <w:rPr>
          <w:rFonts w:eastAsia="Times New Roman" w:cs="Times New Roman"/>
          <w:color w:val="000000"/>
          <w:szCs w:val="24"/>
        </w:rPr>
        <w:t xml:space="preserve"> </w:t>
      </w:r>
      <w:r w:rsidR="003D14CC" w:rsidRPr="003D14CC">
        <w:rPr>
          <w:rFonts w:eastAsia="Times New Roman" w:cs="Times New Roman"/>
          <w:color w:val="000000"/>
          <w:szCs w:val="24"/>
        </w:rPr>
        <w:t>hinder</w:t>
      </w:r>
      <w:r w:rsidR="003D14CC">
        <w:rPr>
          <w:rFonts w:eastAsia="Times New Roman" w:cs="Times New Roman"/>
          <w:color w:val="000000"/>
          <w:szCs w:val="24"/>
        </w:rPr>
        <w:t>s</w:t>
      </w:r>
      <w:r w:rsidR="003D14CC" w:rsidRPr="003D14CC">
        <w:rPr>
          <w:rFonts w:eastAsia="Times New Roman" w:cs="Times New Roman"/>
          <w:color w:val="000000"/>
          <w:szCs w:val="24"/>
        </w:rPr>
        <w:t xml:space="preserve"> comparative analysis, systematic evaluations, a</w:t>
      </w:r>
      <w:r w:rsidR="003D14CC">
        <w:rPr>
          <w:rFonts w:eastAsia="Times New Roman" w:cs="Times New Roman"/>
          <w:color w:val="000000"/>
          <w:szCs w:val="24"/>
        </w:rPr>
        <w:t>s well as our ability to share</w:t>
      </w:r>
      <w:r w:rsidR="003D14CC" w:rsidRPr="003D14CC">
        <w:rPr>
          <w:rFonts w:eastAsia="Times New Roman" w:cs="Times New Roman"/>
          <w:color w:val="000000"/>
          <w:szCs w:val="24"/>
        </w:rPr>
        <w:t xml:space="preserve"> successful strategies. </w:t>
      </w:r>
      <w:r w:rsidR="003D14CC">
        <w:rPr>
          <w:rFonts w:eastAsia="Times New Roman" w:cs="Times New Roman"/>
          <w:color w:val="000000"/>
          <w:szCs w:val="24"/>
        </w:rPr>
        <w:t xml:space="preserve">More specifically, current practice prevents us from </w:t>
      </w:r>
      <w:r w:rsidR="003D14CC">
        <w:t xml:space="preserve">systematically examining the defining characteristics of our most dangerous streets. Without a more cohesive understanding of the problems that plague road safety, the </w:t>
      </w:r>
      <w:r w:rsidR="003D14CC" w:rsidRPr="003D14CC">
        <w:t xml:space="preserve">impact of </w:t>
      </w:r>
      <w:r w:rsidR="003D14CC">
        <w:t xml:space="preserve">our </w:t>
      </w:r>
      <w:r w:rsidR="003D14CC" w:rsidRPr="003D14CC">
        <w:t xml:space="preserve">interventions remains siloed, </w:t>
      </w:r>
      <w:r w:rsidR="00C30165" w:rsidRPr="00C30165">
        <w:t>as insights and strategies cannot be easily shared or scaled.</w:t>
      </w:r>
      <w:r w:rsidR="00C30165">
        <w:t xml:space="preserve"> This reduces</w:t>
      </w:r>
      <w:r w:rsidR="003D14CC" w:rsidRPr="003D14CC">
        <w:t xml:space="preserve"> their potential effectiveness at </w:t>
      </w:r>
      <w:r w:rsidR="003D14CC">
        <w:t>the regional and</w:t>
      </w:r>
      <w:r w:rsidR="003D14CC" w:rsidRPr="003D14CC">
        <w:t xml:space="preserve"> national level.</w:t>
      </w:r>
    </w:p>
    <w:p w14:paraId="0D7241EB" w14:textId="7A54B806" w:rsidR="000960BF" w:rsidRDefault="00C30165" w:rsidP="000A32A7">
      <w:pPr>
        <w:rPr>
          <w:rFonts w:eastAsia="Times New Roman" w:cs="Times New Roman"/>
          <w:color w:val="000000"/>
          <w:szCs w:val="24"/>
        </w:rPr>
      </w:pPr>
      <w:r w:rsidRPr="00C30165">
        <w:rPr>
          <w:rFonts w:eastAsia="Times New Roman" w:cs="Times New Roman"/>
          <w:color w:val="000000"/>
          <w:szCs w:val="24"/>
        </w:rPr>
        <w:t xml:space="preserve">Establishing a standardized, replicable </w:t>
      </w:r>
      <w:r w:rsidR="00A176AF">
        <w:rPr>
          <w:rFonts w:eastAsia="Times New Roman" w:cs="Times New Roman"/>
          <w:color w:val="000000"/>
          <w:szCs w:val="24"/>
        </w:rPr>
        <w:t>approach</w:t>
      </w:r>
      <w:r w:rsidRPr="00C30165">
        <w:rPr>
          <w:rFonts w:eastAsia="Times New Roman" w:cs="Times New Roman"/>
          <w:color w:val="000000"/>
          <w:szCs w:val="24"/>
        </w:rPr>
        <w:t xml:space="preserve"> for high-injury network analysis will provide cities with a tool to better understand and address dangerous </w:t>
      </w:r>
      <w:r w:rsidR="00602C3F">
        <w:rPr>
          <w:rFonts w:eastAsia="Times New Roman" w:cs="Times New Roman"/>
          <w:color w:val="000000"/>
          <w:szCs w:val="24"/>
        </w:rPr>
        <w:t>roads</w:t>
      </w:r>
      <w:r w:rsidRPr="00C30165">
        <w:rPr>
          <w:rFonts w:eastAsia="Times New Roman" w:cs="Times New Roman"/>
          <w:color w:val="000000"/>
          <w:szCs w:val="24"/>
        </w:rPr>
        <w:t xml:space="preserve">. This standardization is essential for the </w:t>
      </w:r>
      <w:r>
        <w:rPr>
          <w:rFonts w:eastAsia="Times New Roman" w:cs="Times New Roman"/>
          <w:color w:val="000000"/>
          <w:szCs w:val="24"/>
        </w:rPr>
        <w:t>preservation of our</w:t>
      </w:r>
      <w:r w:rsidRPr="00C30165">
        <w:rPr>
          <w:rFonts w:eastAsia="Times New Roman" w:cs="Times New Roman"/>
          <w:color w:val="000000"/>
          <w:szCs w:val="24"/>
        </w:rPr>
        <w:t xml:space="preserve"> existing transportation infrastructure by </w:t>
      </w:r>
      <w:r w:rsidR="00602C3F">
        <w:rPr>
          <w:rFonts w:eastAsia="Times New Roman" w:cs="Times New Roman"/>
          <w:color w:val="000000"/>
          <w:szCs w:val="24"/>
        </w:rPr>
        <w:t>helping ensure</w:t>
      </w:r>
      <w:r w:rsidRPr="00C30165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that </w:t>
      </w:r>
      <w:r w:rsidR="000960BF">
        <w:rPr>
          <w:rFonts w:eastAsia="Times New Roman" w:cs="Times New Roman"/>
          <w:color w:val="000000"/>
          <w:szCs w:val="24"/>
        </w:rPr>
        <w:t xml:space="preserve">both our designs and interventions can be </w:t>
      </w:r>
      <w:r w:rsidR="000960BF" w:rsidRPr="00C30165">
        <w:rPr>
          <w:rFonts w:eastAsia="Times New Roman" w:cs="Times New Roman"/>
          <w:color w:val="000000"/>
          <w:szCs w:val="24"/>
        </w:rPr>
        <w:t>syst</w:t>
      </w:r>
      <w:r w:rsidR="000960BF">
        <w:rPr>
          <w:rFonts w:eastAsia="Times New Roman" w:cs="Times New Roman"/>
          <w:color w:val="000000"/>
          <w:szCs w:val="24"/>
        </w:rPr>
        <w:t>ematically evaluated in a way that the resulting insights can be compared and shared across different contexts.</w:t>
      </w:r>
    </w:p>
    <w:p w14:paraId="559297A2" w14:textId="09CB296D" w:rsidR="007A6340" w:rsidRPr="007A6340" w:rsidRDefault="007A6340" w:rsidP="0021517F">
      <w:pPr>
        <w:pStyle w:val="Heading2"/>
      </w:pPr>
      <w:r w:rsidRPr="007A6340">
        <w:t>Research Objectives</w:t>
      </w:r>
    </w:p>
    <w:p w14:paraId="38084529" w14:textId="77777777" w:rsidR="00582340" w:rsidRPr="00EE659C" w:rsidRDefault="00582340" w:rsidP="0021517F">
      <w:pPr>
        <w:keepNext/>
        <w:spacing w:after="0"/>
        <w:rPr>
          <w:rFonts w:cs="Times New Roman"/>
          <w:szCs w:val="24"/>
        </w:rPr>
      </w:pPr>
      <w:r w:rsidRPr="00EE659C">
        <w:rPr>
          <w:rFonts w:cs="Times New Roman"/>
          <w:szCs w:val="24"/>
        </w:rPr>
        <w:t>The key steps for this project are the following:</w:t>
      </w:r>
    </w:p>
    <w:p w14:paraId="08B41D3F" w14:textId="322F2B45" w:rsidR="00582340" w:rsidRDefault="00582340" w:rsidP="0021517F">
      <w:pPr>
        <w:pStyle w:val="ListParagraph"/>
        <w:keepLines/>
        <w:numPr>
          <w:ilvl w:val="0"/>
          <w:numId w:val="8"/>
        </w:numPr>
      </w:pPr>
      <w:r>
        <w:t>Conduct literature review</w:t>
      </w:r>
    </w:p>
    <w:p w14:paraId="569BBB39" w14:textId="5A18105A" w:rsidR="00582340" w:rsidRDefault="00582340" w:rsidP="0021517F">
      <w:pPr>
        <w:pStyle w:val="ListParagraph"/>
        <w:keepLines/>
        <w:numPr>
          <w:ilvl w:val="0"/>
          <w:numId w:val="8"/>
        </w:numPr>
      </w:pPr>
      <w:r>
        <w:t>Identify existing data sources</w:t>
      </w:r>
    </w:p>
    <w:p w14:paraId="6838209D" w14:textId="48B78DE3" w:rsidR="000F04D7" w:rsidRDefault="000F04D7" w:rsidP="0021517F">
      <w:pPr>
        <w:pStyle w:val="ListParagraph"/>
        <w:keepLines/>
        <w:numPr>
          <w:ilvl w:val="0"/>
          <w:numId w:val="8"/>
        </w:numPr>
      </w:pPr>
      <w:r>
        <w:t xml:space="preserve">Develop a generalizable and replicable </w:t>
      </w:r>
      <w:r w:rsidR="00A176AF">
        <w:rPr>
          <w:rFonts w:eastAsia="Times New Roman" w:cs="Times New Roman"/>
          <w:color w:val="000000"/>
          <w:szCs w:val="24"/>
        </w:rPr>
        <w:t>approach</w:t>
      </w:r>
      <w:r>
        <w:t xml:space="preserve"> for defining high-injury networks</w:t>
      </w:r>
    </w:p>
    <w:p w14:paraId="76A7FD29" w14:textId="7D050506" w:rsidR="000F04D7" w:rsidRDefault="000F04D7" w:rsidP="0021517F">
      <w:pPr>
        <w:pStyle w:val="ListParagraph"/>
        <w:keepLines/>
        <w:numPr>
          <w:ilvl w:val="0"/>
          <w:numId w:val="8"/>
        </w:numPr>
      </w:pPr>
      <w:r>
        <w:t xml:space="preserve">Apply this standardized </w:t>
      </w:r>
      <w:r w:rsidR="00A176AF">
        <w:rPr>
          <w:rFonts w:eastAsia="Times New Roman" w:cs="Times New Roman"/>
          <w:color w:val="000000"/>
          <w:szCs w:val="24"/>
        </w:rPr>
        <w:t>approach</w:t>
      </w:r>
      <w:r>
        <w:t xml:space="preserve"> to the primary city of each of the 100 largest metropolitan areas in the United States</w:t>
      </w:r>
    </w:p>
    <w:p w14:paraId="715CF059" w14:textId="53359F5C" w:rsidR="000F04D7" w:rsidRDefault="000F04D7" w:rsidP="0021517F">
      <w:pPr>
        <w:pStyle w:val="ListParagraph"/>
        <w:keepLines/>
        <w:numPr>
          <w:ilvl w:val="0"/>
          <w:numId w:val="8"/>
        </w:numPr>
      </w:pPr>
      <w:r>
        <w:t>C</w:t>
      </w:r>
      <w:r w:rsidR="002D76E6">
        <w:t>reate</w:t>
      </w:r>
      <w:r>
        <w:t xml:space="preserve"> a comprehensive dataset of high-injury networks</w:t>
      </w:r>
    </w:p>
    <w:p w14:paraId="5A0CB7FA" w14:textId="43129DC8" w:rsidR="000F04D7" w:rsidRDefault="000F04D7" w:rsidP="0021517F">
      <w:pPr>
        <w:pStyle w:val="ListParagraph"/>
        <w:keepLines/>
        <w:numPr>
          <w:ilvl w:val="0"/>
          <w:numId w:val="8"/>
        </w:numPr>
      </w:pPr>
      <w:r>
        <w:t>Analyze the defining characteristics of these dangerous streets, including street and network design features, to identify common patterns and factors</w:t>
      </w:r>
    </w:p>
    <w:p w14:paraId="4CB53164" w14:textId="49BBF154" w:rsidR="000F04D7" w:rsidRPr="00EE659C" w:rsidRDefault="000F04D7" w:rsidP="0021517F">
      <w:pPr>
        <w:pStyle w:val="ListParagraph"/>
        <w:keepLines/>
        <w:numPr>
          <w:ilvl w:val="0"/>
          <w:numId w:val="8"/>
        </w:numPr>
        <w:rPr>
          <w:rFonts w:cs="Times New Roman"/>
          <w:szCs w:val="24"/>
        </w:rPr>
      </w:pPr>
      <w:r w:rsidRPr="00EE659C">
        <w:rPr>
          <w:rFonts w:cs="Times New Roman"/>
          <w:color w:val="000000" w:themeColor="text1"/>
          <w:szCs w:val="24"/>
        </w:rPr>
        <w:t xml:space="preserve">Advance knowledge by carrying out </w:t>
      </w:r>
      <w:r>
        <w:rPr>
          <w:rFonts w:cs="Times New Roman"/>
          <w:color w:val="000000" w:themeColor="text1"/>
          <w:szCs w:val="24"/>
        </w:rPr>
        <w:t xml:space="preserve">the above </w:t>
      </w:r>
      <w:r w:rsidRPr="00EE659C">
        <w:rPr>
          <w:rFonts w:cs="Times New Roman"/>
          <w:color w:val="000000" w:themeColor="text1"/>
          <w:szCs w:val="24"/>
        </w:rPr>
        <w:t>analyses</w:t>
      </w:r>
      <w:r>
        <w:rPr>
          <w:rFonts w:cs="Times New Roman"/>
          <w:color w:val="000000" w:themeColor="text1"/>
          <w:szCs w:val="24"/>
        </w:rPr>
        <w:t xml:space="preserve"> and facilitating</w:t>
      </w:r>
      <w:r w:rsidRPr="000F04D7">
        <w:rPr>
          <w:rFonts w:cs="Times New Roman"/>
          <w:color w:val="000000" w:themeColor="text1"/>
          <w:szCs w:val="24"/>
        </w:rPr>
        <w:t xml:space="preserve"> better-informed, evidence-based decision-making in road safety strategies</w:t>
      </w:r>
    </w:p>
    <w:p w14:paraId="5E34A171" w14:textId="2409222E" w:rsidR="000F04D7" w:rsidRPr="00EE659C" w:rsidRDefault="000F04D7" w:rsidP="0021517F">
      <w:pPr>
        <w:pStyle w:val="ListParagraph"/>
        <w:keepLines/>
        <w:numPr>
          <w:ilvl w:val="0"/>
          <w:numId w:val="8"/>
        </w:numPr>
        <w:rPr>
          <w:rFonts w:cs="Times New Roman"/>
          <w:color w:val="000000" w:themeColor="text1"/>
          <w:szCs w:val="24"/>
        </w:rPr>
      </w:pPr>
      <w:r w:rsidRPr="00EE659C">
        <w:rPr>
          <w:rFonts w:cs="Times New Roman"/>
          <w:color w:val="000000" w:themeColor="text1"/>
          <w:szCs w:val="24"/>
        </w:rPr>
        <w:t>Advance policy and practic</w:t>
      </w:r>
      <w:r>
        <w:rPr>
          <w:rFonts w:cs="Times New Roman"/>
          <w:color w:val="000000" w:themeColor="text1"/>
          <w:szCs w:val="24"/>
        </w:rPr>
        <w:t>e with respect to building safer cities</w:t>
      </w:r>
      <w:r w:rsidRPr="00EE659C">
        <w:rPr>
          <w:rFonts w:cs="Times New Roman"/>
          <w:color w:val="000000" w:themeColor="text1"/>
          <w:szCs w:val="24"/>
        </w:rPr>
        <w:t xml:space="preserve"> </w:t>
      </w:r>
      <w:r w:rsidRPr="000F04D7">
        <w:rPr>
          <w:rFonts w:cs="Times New Roman"/>
          <w:color w:val="000000" w:themeColor="text1"/>
          <w:szCs w:val="24"/>
        </w:rPr>
        <w:t>by providing a comparative analysis framework</w:t>
      </w:r>
    </w:p>
    <w:p w14:paraId="24225D45" w14:textId="3C3BCF5C" w:rsidR="000F04D7" w:rsidRPr="00EE659C" w:rsidRDefault="000F04D7" w:rsidP="0021517F">
      <w:pPr>
        <w:pStyle w:val="ListParagraph"/>
        <w:keepLines/>
        <w:numPr>
          <w:ilvl w:val="0"/>
          <w:numId w:val="8"/>
        </w:numPr>
        <w:rPr>
          <w:rFonts w:cs="Times New Roman"/>
          <w:color w:val="000000" w:themeColor="text1"/>
          <w:szCs w:val="24"/>
        </w:rPr>
      </w:pPr>
      <w:r w:rsidRPr="00EE659C">
        <w:rPr>
          <w:rFonts w:cs="Times New Roman"/>
          <w:color w:val="000000" w:themeColor="text1"/>
          <w:szCs w:val="24"/>
        </w:rPr>
        <w:t>Advance education through the hand</w:t>
      </w:r>
      <w:r>
        <w:rPr>
          <w:rFonts w:cs="Times New Roman"/>
          <w:color w:val="000000" w:themeColor="text1"/>
          <w:szCs w:val="24"/>
        </w:rPr>
        <w:t>s-on training of students</w:t>
      </w:r>
    </w:p>
    <w:p w14:paraId="5560E526" w14:textId="50F2BBAC" w:rsidR="000F04D7" w:rsidRPr="00EE659C" w:rsidRDefault="000F04D7" w:rsidP="0021517F">
      <w:pPr>
        <w:pStyle w:val="ListParagraph"/>
        <w:keepLines/>
        <w:numPr>
          <w:ilvl w:val="0"/>
          <w:numId w:val="8"/>
        </w:numPr>
        <w:rPr>
          <w:rFonts w:cs="Times New Roman"/>
          <w:color w:val="000000" w:themeColor="text1"/>
          <w:szCs w:val="24"/>
        </w:rPr>
      </w:pPr>
      <w:r w:rsidRPr="00EE659C">
        <w:rPr>
          <w:rFonts w:cs="Times New Roman"/>
          <w:color w:val="000000" w:themeColor="text1"/>
          <w:szCs w:val="24"/>
        </w:rPr>
        <w:t>Build an evidence base by disseminating findings through</w:t>
      </w:r>
      <w:r>
        <w:rPr>
          <w:rFonts w:cs="Times New Roman"/>
          <w:color w:val="000000" w:themeColor="text1"/>
          <w:szCs w:val="24"/>
        </w:rPr>
        <w:t xml:space="preserve"> publications and presentation</w:t>
      </w:r>
    </w:p>
    <w:p w14:paraId="559297A5" w14:textId="5200FAA9" w:rsidR="007A6340" w:rsidRPr="007A6340" w:rsidRDefault="007A6340" w:rsidP="00AA1BD5">
      <w:pPr>
        <w:pStyle w:val="Heading2"/>
      </w:pPr>
      <w:r w:rsidRPr="007A6340">
        <w:t>Research Methods</w:t>
      </w:r>
    </w:p>
    <w:p w14:paraId="00A8D1FB" w14:textId="61178B44" w:rsidR="00EC313E" w:rsidRDefault="00082F41" w:rsidP="001C0E38">
      <w:r>
        <w:t xml:space="preserve">The </w:t>
      </w:r>
      <w:r w:rsidR="00B40434">
        <w:t xml:space="preserve">overarching </w:t>
      </w:r>
      <w:r>
        <w:t xml:space="preserve">intent of </w:t>
      </w:r>
      <w:r w:rsidR="00B40434">
        <w:t xml:space="preserve">the following </w:t>
      </w:r>
      <w:r>
        <w:t xml:space="preserve">is to build a </w:t>
      </w:r>
      <w:r w:rsidRPr="00082F41">
        <w:t xml:space="preserve">comprehensive, replicable </w:t>
      </w:r>
      <w:r w:rsidR="00A176AF">
        <w:t>approach</w:t>
      </w:r>
      <w:r w:rsidRPr="00082F41">
        <w:t xml:space="preserve"> </w:t>
      </w:r>
      <w:r w:rsidR="000B486D">
        <w:t xml:space="preserve">for </w:t>
      </w:r>
      <w:r w:rsidR="000B486D" w:rsidRPr="000B486D">
        <w:t>high-injury network analysi</w:t>
      </w:r>
      <w:r w:rsidR="000B486D">
        <w:t xml:space="preserve">s </w:t>
      </w:r>
      <w:r w:rsidRPr="00082F41">
        <w:t xml:space="preserve">that can be used across </w:t>
      </w:r>
      <w:r w:rsidR="00B40434">
        <w:t>multiple cities:</w:t>
      </w:r>
    </w:p>
    <w:p w14:paraId="5AA3A28A" w14:textId="6BA3106C" w:rsidR="00EC313E" w:rsidRPr="001C0E38" w:rsidRDefault="00EC313E" w:rsidP="001C0E38">
      <w:pPr>
        <w:keepNext/>
        <w:spacing w:after="0"/>
        <w:rPr>
          <w:rFonts w:eastAsia="Times New Roman" w:cs="Times New Roman"/>
          <w:b/>
          <w:bCs/>
          <w:i/>
          <w:iCs/>
          <w:color w:val="000000"/>
          <w:szCs w:val="24"/>
        </w:rPr>
      </w:pPr>
      <w:r w:rsidRPr="001C0E38">
        <w:rPr>
          <w:rFonts w:eastAsia="Times New Roman" w:cs="Times New Roman"/>
          <w:b/>
          <w:bCs/>
          <w:i/>
          <w:iCs/>
          <w:color w:val="000000"/>
          <w:szCs w:val="24"/>
        </w:rPr>
        <w:t>Literature Review and Analysis</w:t>
      </w:r>
      <w:r w:rsidR="00016E0D" w:rsidRPr="001C0E38">
        <w:rPr>
          <w:rFonts w:eastAsia="Times New Roman" w:cs="Times New Roman"/>
          <w:b/>
          <w:bCs/>
          <w:i/>
          <w:iCs/>
          <w:color w:val="000000"/>
          <w:szCs w:val="24"/>
        </w:rPr>
        <w:t xml:space="preserve"> of Existing High-Injury Network Methodologies</w:t>
      </w:r>
    </w:p>
    <w:p w14:paraId="68A88966" w14:textId="6AF3B942" w:rsidR="00EC313E" w:rsidRDefault="00EC313E" w:rsidP="001C0E38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The intent of Phase 1 is to</w:t>
      </w:r>
      <w:r w:rsidRPr="00EC313E">
        <w:rPr>
          <w:rFonts w:eastAsia="Times New Roman" w:cs="Times New Roman"/>
          <w:color w:val="000000"/>
          <w:szCs w:val="24"/>
        </w:rPr>
        <w:t xml:space="preserve"> review </w:t>
      </w:r>
      <w:r>
        <w:rPr>
          <w:rFonts w:eastAsia="Times New Roman" w:cs="Times New Roman"/>
          <w:color w:val="000000"/>
          <w:szCs w:val="24"/>
        </w:rPr>
        <w:t xml:space="preserve">the </w:t>
      </w:r>
      <w:r w:rsidRPr="00EC313E">
        <w:rPr>
          <w:rFonts w:eastAsia="Times New Roman" w:cs="Times New Roman"/>
          <w:color w:val="000000"/>
          <w:szCs w:val="24"/>
        </w:rPr>
        <w:t xml:space="preserve">existing literature on high-injury network analyses </w:t>
      </w:r>
      <w:r>
        <w:rPr>
          <w:rFonts w:eastAsia="Times New Roman" w:cs="Times New Roman"/>
          <w:color w:val="000000"/>
          <w:szCs w:val="24"/>
        </w:rPr>
        <w:t>as well as</w:t>
      </w:r>
      <w:r w:rsidRPr="00EC313E">
        <w:rPr>
          <w:rFonts w:eastAsia="Times New Roman" w:cs="Times New Roman"/>
          <w:color w:val="000000"/>
          <w:szCs w:val="24"/>
        </w:rPr>
        <w:t xml:space="preserve"> gather</w:t>
      </w:r>
      <w:r w:rsidR="00016E0D">
        <w:rPr>
          <w:rFonts w:eastAsia="Times New Roman" w:cs="Times New Roman"/>
          <w:color w:val="000000"/>
          <w:szCs w:val="24"/>
        </w:rPr>
        <w:t xml:space="preserve"> information</w:t>
      </w:r>
      <w:r w:rsidRPr="00EC313E">
        <w:rPr>
          <w:rFonts w:eastAsia="Times New Roman" w:cs="Times New Roman"/>
          <w:color w:val="000000"/>
          <w:szCs w:val="24"/>
        </w:rPr>
        <w:t xml:space="preserve"> on current methods used by different </w:t>
      </w:r>
      <w:r>
        <w:rPr>
          <w:rFonts w:eastAsia="Times New Roman" w:cs="Times New Roman"/>
          <w:color w:val="000000"/>
          <w:szCs w:val="24"/>
        </w:rPr>
        <w:t xml:space="preserve">cities This will include a systematic </w:t>
      </w:r>
      <w:r w:rsidRPr="00EC313E">
        <w:rPr>
          <w:rFonts w:eastAsia="Times New Roman" w:cs="Times New Roman"/>
          <w:color w:val="000000"/>
          <w:szCs w:val="24"/>
        </w:rPr>
        <w:t>review of academic papers, city report</w:t>
      </w:r>
      <w:r>
        <w:rPr>
          <w:rFonts w:eastAsia="Times New Roman" w:cs="Times New Roman"/>
          <w:color w:val="000000"/>
          <w:szCs w:val="24"/>
        </w:rPr>
        <w:t>s, and transportation studies.</w:t>
      </w:r>
    </w:p>
    <w:p w14:paraId="6163952B" w14:textId="006D903B" w:rsidR="00EC313E" w:rsidRPr="001C0E38" w:rsidRDefault="00EC313E" w:rsidP="001C0E38">
      <w:pPr>
        <w:keepNext/>
        <w:spacing w:after="0"/>
        <w:rPr>
          <w:rFonts w:eastAsia="Times New Roman" w:cs="Times New Roman"/>
          <w:b/>
          <w:bCs/>
          <w:i/>
          <w:iCs/>
          <w:color w:val="000000"/>
          <w:szCs w:val="24"/>
        </w:rPr>
      </w:pPr>
      <w:r w:rsidRPr="001C0E38">
        <w:rPr>
          <w:rFonts w:eastAsia="Times New Roman" w:cs="Times New Roman"/>
          <w:b/>
          <w:bCs/>
          <w:i/>
          <w:iCs/>
          <w:color w:val="000000"/>
          <w:szCs w:val="24"/>
        </w:rPr>
        <w:lastRenderedPageBreak/>
        <w:t>Data Collection and Standardization</w:t>
      </w:r>
    </w:p>
    <w:p w14:paraId="7AC5AFC3" w14:textId="418176FB" w:rsidR="00EC313E" w:rsidRPr="00EC313E" w:rsidRDefault="00EC313E" w:rsidP="001C0E38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In Phase 2, we plan to </w:t>
      </w:r>
      <w:r w:rsidRPr="00EC313E">
        <w:rPr>
          <w:rFonts w:eastAsia="Times New Roman" w:cs="Times New Roman"/>
          <w:color w:val="000000"/>
          <w:szCs w:val="24"/>
        </w:rPr>
        <w:t xml:space="preserve">collect and </w:t>
      </w:r>
      <w:r w:rsidR="00016E0D">
        <w:rPr>
          <w:rFonts w:eastAsia="Times New Roman" w:cs="Times New Roman"/>
          <w:color w:val="000000"/>
          <w:szCs w:val="24"/>
        </w:rPr>
        <w:t xml:space="preserve">work to </w:t>
      </w:r>
      <w:r w:rsidRPr="00EC313E">
        <w:rPr>
          <w:rFonts w:eastAsia="Times New Roman" w:cs="Times New Roman"/>
          <w:color w:val="000000"/>
          <w:szCs w:val="24"/>
        </w:rPr>
        <w:t>standardize</w:t>
      </w:r>
      <w:r>
        <w:rPr>
          <w:rFonts w:eastAsia="Times New Roman" w:cs="Times New Roman"/>
          <w:color w:val="000000"/>
          <w:szCs w:val="24"/>
        </w:rPr>
        <w:t xml:space="preserve"> the various</w:t>
      </w:r>
      <w:r w:rsidRPr="00EC313E">
        <w:rPr>
          <w:rFonts w:eastAsia="Times New Roman" w:cs="Times New Roman"/>
          <w:color w:val="000000"/>
          <w:szCs w:val="24"/>
        </w:rPr>
        <w:t xml:space="preserve"> data </w:t>
      </w:r>
      <w:r>
        <w:rPr>
          <w:rFonts w:eastAsia="Times New Roman" w:cs="Times New Roman"/>
          <w:color w:val="000000"/>
          <w:szCs w:val="24"/>
        </w:rPr>
        <w:t>sources needed to</w:t>
      </w:r>
      <w:r w:rsidRPr="00EC313E">
        <w:rPr>
          <w:rFonts w:eastAsia="Times New Roman" w:cs="Times New Roman"/>
          <w:color w:val="000000"/>
          <w:szCs w:val="24"/>
        </w:rPr>
        <w:t xml:space="preserve"> support the development of a high-injury network analysis.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EC313E">
        <w:rPr>
          <w:rFonts w:eastAsia="Times New Roman" w:cs="Times New Roman"/>
          <w:color w:val="000000"/>
          <w:szCs w:val="24"/>
        </w:rPr>
        <w:t>This will likely involve normalizing data formats, resolving discrepancies in data collection methods, and ensuring compatibility across different data systems</w:t>
      </w:r>
      <w:r w:rsidR="00016E0D">
        <w:rPr>
          <w:rFonts w:eastAsia="Times New Roman" w:cs="Times New Roman"/>
          <w:color w:val="000000"/>
          <w:szCs w:val="24"/>
        </w:rPr>
        <w:t xml:space="preserve"> and cities</w:t>
      </w:r>
      <w:r w:rsidRPr="00EC313E">
        <w:rPr>
          <w:rFonts w:eastAsia="Times New Roman" w:cs="Times New Roman"/>
          <w:color w:val="000000"/>
          <w:szCs w:val="24"/>
        </w:rPr>
        <w:t>.</w:t>
      </w:r>
    </w:p>
    <w:p w14:paraId="5212B8FC" w14:textId="02E80918" w:rsidR="00EC313E" w:rsidRPr="00B1356E" w:rsidRDefault="00EC313E" w:rsidP="00B1356E">
      <w:pPr>
        <w:keepNext/>
        <w:spacing w:after="0"/>
        <w:ind w:left="2160" w:hanging="2160"/>
        <w:rPr>
          <w:rFonts w:eastAsia="Times New Roman" w:cs="Times New Roman"/>
          <w:b/>
          <w:bCs/>
          <w:i/>
          <w:iCs/>
          <w:color w:val="000000"/>
          <w:szCs w:val="24"/>
        </w:rPr>
      </w:pPr>
      <w:r w:rsidRPr="00B1356E">
        <w:rPr>
          <w:rFonts w:eastAsia="Times New Roman" w:cs="Times New Roman"/>
          <w:b/>
          <w:bCs/>
          <w:i/>
          <w:iCs/>
          <w:color w:val="000000"/>
          <w:szCs w:val="24"/>
        </w:rPr>
        <w:t xml:space="preserve">Development of </w:t>
      </w:r>
      <w:r w:rsidR="00985F33" w:rsidRPr="00B1356E">
        <w:rPr>
          <w:rFonts w:eastAsia="Times New Roman" w:cs="Times New Roman"/>
          <w:b/>
          <w:bCs/>
          <w:i/>
          <w:iCs/>
          <w:color w:val="000000"/>
          <w:szCs w:val="24"/>
        </w:rPr>
        <w:t xml:space="preserve">Standardized </w:t>
      </w:r>
      <w:r w:rsidR="00A176AF" w:rsidRPr="00B1356E">
        <w:rPr>
          <w:rFonts w:eastAsia="Times New Roman" w:cs="Times New Roman"/>
          <w:b/>
          <w:bCs/>
          <w:i/>
          <w:iCs/>
          <w:color w:val="000000"/>
          <w:szCs w:val="24"/>
        </w:rPr>
        <w:t>Approach</w:t>
      </w:r>
      <w:r w:rsidR="00985F33" w:rsidRPr="00B1356E">
        <w:rPr>
          <w:rFonts w:eastAsia="Times New Roman" w:cs="Times New Roman"/>
          <w:b/>
          <w:bCs/>
          <w:i/>
          <w:iCs/>
          <w:color w:val="000000"/>
          <w:szCs w:val="24"/>
        </w:rPr>
        <w:t xml:space="preserve"> for </w:t>
      </w:r>
      <w:r w:rsidR="00A176AF" w:rsidRPr="00B1356E">
        <w:rPr>
          <w:rFonts w:eastAsia="Times New Roman" w:cs="Times New Roman"/>
          <w:b/>
          <w:bCs/>
          <w:i/>
          <w:iCs/>
          <w:color w:val="000000"/>
          <w:szCs w:val="24"/>
        </w:rPr>
        <w:t xml:space="preserve">Identifying the </w:t>
      </w:r>
      <w:r w:rsidRPr="00B1356E">
        <w:rPr>
          <w:rFonts w:eastAsia="Times New Roman" w:cs="Times New Roman"/>
          <w:b/>
          <w:bCs/>
          <w:i/>
          <w:iCs/>
          <w:color w:val="000000"/>
          <w:szCs w:val="24"/>
        </w:rPr>
        <w:t>High-Injury Network</w:t>
      </w:r>
    </w:p>
    <w:p w14:paraId="334F7636" w14:textId="0DA66421" w:rsidR="00EC313E" w:rsidRDefault="00016E0D" w:rsidP="00B1356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In order to</w:t>
      </w:r>
      <w:r w:rsidR="00985F33">
        <w:rPr>
          <w:rFonts w:eastAsia="Times New Roman" w:cs="Times New Roman"/>
          <w:color w:val="000000"/>
          <w:szCs w:val="24"/>
        </w:rPr>
        <w:t xml:space="preserve"> develop </w:t>
      </w:r>
      <w:r>
        <w:rPr>
          <w:rFonts w:eastAsia="Times New Roman" w:cs="Times New Roman"/>
          <w:color w:val="000000"/>
          <w:szCs w:val="24"/>
        </w:rPr>
        <w:t>our</w:t>
      </w:r>
      <w:r w:rsidR="00EC313E" w:rsidRPr="00EC313E">
        <w:rPr>
          <w:rFonts w:eastAsia="Times New Roman" w:cs="Times New Roman"/>
          <w:color w:val="000000"/>
          <w:szCs w:val="24"/>
        </w:rPr>
        <w:t xml:space="preserve"> </w:t>
      </w:r>
      <w:r w:rsidR="00A176AF">
        <w:rPr>
          <w:rFonts w:eastAsia="Times New Roman" w:cs="Times New Roman"/>
          <w:color w:val="000000"/>
          <w:szCs w:val="24"/>
        </w:rPr>
        <w:t>approach</w:t>
      </w:r>
      <w:r>
        <w:rPr>
          <w:rFonts w:eastAsia="Times New Roman" w:cs="Times New Roman"/>
          <w:color w:val="000000"/>
          <w:szCs w:val="24"/>
        </w:rPr>
        <w:t xml:space="preserve"> for identifying a </w:t>
      </w:r>
      <w:r w:rsidR="00EC313E" w:rsidRPr="00EC313E">
        <w:rPr>
          <w:rFonts w:eastAsia="Times New Roman" w:cs="Times New Roman"/>
          <w:color w:val="000000"/>
          <w:szCs w:val="24"/>
        </w:rPr>
        <w:t>high-injury network</w:t>
      </w:r>
      <w:r w:rsidR="00985F33">
        <w:rPr>
          <w:rFonts w:eastAsia="Times New Roman" w:cs="Times New Roman"/>
          <w:color w:val="000000"/>
          <w:szCs w:val="24"/>
        </w:rPr>
        <w:t>, we intend to us</w:t>
      </w:r>
      <w:r w:rsidR="00985F33" w:rsidRPr="00EC313E">
        <w:rPr>
          <w:rFonts w:eastAsia="Times New Roman" w:cs="Times New Roman"/>
          <w:color w:val="000000"/>
          <w:szCs w:val="24"/>
        </w:rPr>
        <w:t xml:space="preserve">e </w:t>
      </w:r>
      <w:r w:rsidR="00985F33">
        <w:rPr>
          <w:rFonts w:eastAsia="Times New Roman" w:cs="Times New Roman"/>
          <w:color w:val="000000"/>
          <w:szCs w:val="24"/>
        </w:rPr>
        <w:t xml:space="preserve">GIS and </w:t>
      </w:r>
      <w:r w:rsidR="00A176AF">
        <w:rPr>
          <w:rFonts w:eastAsia="Times New Roman" w:cs="Times New Roman"/>
          <w:color w:val="000000"/>
          <w:szCs w:val="24"/>
        </w:rPr>
        <w:t xml:space="preserve">spatial </w:t>
      </w:r>
      <w:r w:rsidR="00985F33">
        <w:rPr>
          <w:rFonts w:eastAsia="Times New Roman" w:cs="Times New Roman"/>
          <w:color w:val="000000"/>
          <w:szCs w:val="24"/>
        </w:rPr>
        <w:t>statistical tools</w:t>
      </w:r>
      <w:r w:rsidR="00985F33" w:rsidRPr="00EC313E">
        <w:rPr>
          <w:rFonts w:eastAsia="Times New Roman" w:cs="Times New Roman"/>
          <w:color w:val="000000"/>
          <w:szCs w:val="24"/>
        </w:rPr>
        <w:t xml:space="preserve"> to </w:t>
      </w:r>
      <w:r>
        <w:rPr>
          <w:rFonts w:eastAsia="Times New Roman" w:cs="Times New Roman"/>
          <w:color w:val="000000"/>
          <w:szCs w:val="24"/>
        </w:rPr>
        <w:t xml:space="preserve">first </w:t>
      </w:r>
      <w:r w:rsidR="00985F33" w:rsidRPr="00EC313E">
        <w:rPr>
          <w:rFonts w:eastAsia="Times New Roman" w:cs="Times New Roman"/>
          <w:color w:val="000000"/>
          <w:szCs w:val="24"/>
        </w:rPr>
        <w:t>identify patterns and commonalities across different cities.</w:t>
      </w:r>
      <w:r w:rsidR="00A176AF">
        <w:rPr>
          <w:rFonts w:eastAsia="Times New Roman" w:cs="Times New Roman"/>
          <w:color w:val="000000"/>
          <w:szCs w:val="24"/>
        </w:rPr>
        <w:t xml:space="preserve"> We will then work to</w:t>
      </w:r>
      <w:r>
        <w:rPr>
          <w:rFonts w:eastAsia="Times New Roman" w:cs="Times New Roman"/>
          <w:color w:val="000000"/>
          <w:szCs w:val="24"/>
        </w:rPr>
        <w:t xml:space="preserve"> statistically test what data inputs are important or not. This will allow us to</w:t>
      </w:r>
      <w:r w:rsidR="00A176AF">
        <w:rPr>
          <w:rFonts w:eastAsia="Times New Roman" w:cs="Times New Roman"/>
          <w:color w:val="000000"/>
          <w:szCs w:val="24"/>
        </w:rPr>
        <w:t xml:space="preserve"> d</w:t>
      </w:r>
      <w:r w:rsidR="00A176AF" w:rsidRPr="00EC313E">
        <w:rPr>
          <w:rFonts w:eastAsia="Times New Roman" w:cs="Times New Roman"/>
          <w:color w:val="000000"/>
          <w:szCs w:val="24"/>
        </w:rPr>
        <w:t xml:space="preserve">evelop and refine algorithms that can automatically identify high-injury networks based on </w:t>
      </w:r>
      <w:r w:rsidR="00A176AF">
        <w:rPr>
          <w:rFonts w:eastAsia="Times New Roman" w:cs="Times New Roman"/>
          <w:color w:val="000000"/>
          <w:szCs w:val="24"/>
        </w:rPr>
        <w:t xml:space="preserve">a </w:t>
      </w:r>
      <w:r w:rsidR="00A176AF" w:rsidRPr="00EC313E">
        <w:rPr>
          <w:rFonts w:eastAsia="Times New Roman" w:cs="Times New Roman"/>
          <w:color w:val="000000"/>
          <w:szCs w:val="24"/>
        </w:rPr>
        <w:t>st</w:t>
      </w:r>
      <w:r w:rsidR="00A176AF">
        <w:rPr>
          <w:rFonts w:eastAsia="Times New Roman" w:cs="Times New Roman"/>
          <w:color w:val="000000"/>
          <w:szCs w:val="24"/>
        </w:rPr>
        <w:t>andard set of</w:t>
      </w:r>
      <w:r w:rsidR="00A176AF" w:rsidRPr="00EC313E">
        <w:rPr>
          <w:rFonts w:eastAsia="Times New Roman" w:cs="Times New Roman"/>
          <w:color w:val="000000"/>
          <w:szCs w:val="24"/>
        </w:rPr>
        <w:t xml:space="preserve"> data inputs.</w:t>
      </w:r>
    </w:p>
    <w:p w14:paraId="684EF06D" w14:textId="5B414845" w:rsidR="00EC313E" w:rsidRPr="00B1356E" w:rsidRDefault="00016E0D" w:rsidP="00B1356E">
      <w:pPr>
        <w:keepNext/>
        <w:spacing w:after="0"/>
        <w:rPr>
          <w:rFonts w:eastAsia="Times New Roman" w:cs="Times New Roman"/>
          <w:b/>
          <w:bCs/>
          <w:i/>
          <w:iCs/>
          <w:color w:val="000000"/>
          <w:szCs w:val="24"/>
        </w:rPr>
      </w:pPr>
      <w:r w:rsidRPr="00B1356E">
        <w:rPr>
          <w:rFonts w:eastAsia="Times New Roman" w:cs="Times New Roman"/>
          <w:b/>
          <w:bCs/>
          <w:i/>
          <w:iCs/>
          <w:color w:val="000000"/>
          <w:szCs w:val="24"/>
        </w:rPr>
        <w:t xml:space="preserve">High-Injury Network </w:t>
      </w:r>
      <w:r w:rsidR="00EC313E" w:rsidRPr="00B1356E">
        <w:rPr>
          <w:rFonts w:eastAsia="Times New Roman" w:cs="Times New Roman"/>
          <w:b/>
          <w:bCs/>
          <w:i/>
          <w:iCs/>
          <w:color w:val="000000"/>
          <w:szCs w:val="24"/>
        </w:rPr>
        <w:t xml:space="preserve">Model </w:t>
      </w:r>
      <w:r w:rsidRPr="00B1356E">
        <w:rPr>
          <w:rFonts w:eastAsia="Times New Roman" w:cs="Times New Roman"/>
          <w:b/>
          <w:bCs/>
          <w:i/>
          <w:iCs/>
          <w:color w:val="000000"/>
          <w:szCs w:val="24"/>
        </w:rPr>
        <w:t>Testing and Assessment</w:t>
      </w:r>
    </w:p>
    <w:p w14:paraId="00247B75" w14:textId="2357DB1E" w:rsidR="00016E0D" w:rsidRDefault="00016E0D" w:rsidP="00B1356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After piloting the approach in a select number of cities to test its applicability, we will c</w:t>
      </w:r>
      <w:r w:rsidRPr="00EC313E">
        <w:rPr>
          <w:rFonts w:eastAsia="Times New Roman" w:cs="Times New Roman"/>
          <w:color w:val="000000"/>
          <w:szCs w:val="24"/>
        </w:rPr>
        <w:t>onduct sensitivity analyses to determine how changes in data inputs or model parameters affect the outcomes.</w:t>
      </w:r>
      <w:r w:rsidRPr="00016E0D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We will also c</w:t>
      </w:r>
      <w:r w:rsidRPr="00EC313E">
        <w:rPr>
          <w:rFonts w:eastAsia="Times New Roman" w:cs="Times New Roman"/>
          <w:color w:val="000000"/>
          <w:szCs w:val="24"/>
        </w:rPr>
        <w:t xml:space="preserve">ompare the results with existing </w:t>
      </w:r>
      <w:r>
        <w:rPr>
          <w:rFonts w:eastAsia="Times New Roman" w:cs="Times New Roman"/>
          <w:color w:val="000000"/>
          <w:szCs w:val="24"/>
        </w:rPr>
        <w:t>high-injury network analyses</w:t>
      </w:r>
      <w:r w:rsidRPr="00EC313E">
        <w:rPr>
          <w:rFonts w:eastAsia="Times New Roman" w:cs="Times New Roman"/>
          <w:color w:val="000000"/>
          <w:szCs w:val="24"/>
        </w:rPr>
        <w:t xml:space="preserve"> to </w:t>
      </w:r>
      <w:r>
        <w:rPr>
          <w:rFonts w:eastAsia="Times New Roman" w:cs="Times New Roman"/>
          <w:color w:val="000000"/>
          <w:szCs w:val="24"/>
        </w:rPr>
        <w:t xml:space="preserve">assess </w:t>
      </w:r>
      <w:r w:rsidRPr="00EC313E">
        <w:rPr>
          <w:rFonts w:eastAsia="Times New Roman" w:cs="Times New Roman"/>
          <w:color w:val="000000"/>
          <w:szCs w:val="24"/>
        </w:rPr>
        <w:t xml:space="preserve">the effectiveness of </w:t>
      </w:r>
      <w:r>
        <w:rPr>
          <w:rFonts w:eastAsia="Times New Roman" w:cs="Times New Roman"/>
          <w:color w:val="000000"/>
          <w:szCs w:val="24"/>
        </w:rPr>
        <w:t>our</w:t>
      </w:r>
      <w:r w:rsidRPr="00EC313E">
        <w:rPr>
          <w:rFonts w:eastAsia="Times New Roman" w:cs="Times New Roman"/>
          <w:color w:val="000000"/>
          <w:szCs w:val="24"/>
        </w:rPr>
        <w:t xml:space="preserve"> methodology.</w:t>
      </w:r>
    </w:p>
    <w:p w14:paraId="6F21847E" w14:textId="070B67B8" w:rsidR="00016E0D" w:rsidRPr="00B1356E" w:rsidRDefault="002D76E6" w:rsidP="00B1356E">
      <w:pPr>
        <w:keepNext/>
        <w:spacing w:after="0"/>
        <w:rPr>
          <w:rFonts w:eastAsia="Times New Roman" w:cs="Times New Roman"/>
          <w:b/>
          <w:bCs/>
          <w:i/>
          <w:iCs/>
          <w:color w:val="000000"/>
          <w:szCs w:val="24"/>
        </w:rPr>
      </w:pPr>
      <w:r w:rsidRPr="00B1356E">
        <w:rPr>
          <w:rFonts w:eastAsia="Times New Roman" w:cs="Times New Roman"/>
          <w:b/>
          <w:bCs/>
          <w:i/>
          <w:iCs/>
          <w:color w:val="000000"/>
          <w:szCs w:val="24"/>
        </w:rPr>
        <w:t>High-Injury Network Model Application</w:t>
      </w:r>
    </w:p>
    <w:p w14:paraId="54D5E8B0" w14:textId="73614E08" w:rsidR="000269B5" w:rsidRDefault="002D76E6" w:rsidP="00B1356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We will then test our approach to the identification of the high-injury network for the primary city in the largest 100 U.S. metropolitan areas. Part of</w:t>
      </w:r>
      <w:r w:rsidR="000269B5">
        <w:rPr>
          <w:rFonts w:eastAsia="Times New Roman" w:cs="Times New Roman"/>
          <w:color w:val="000000"/>
          <w:szCs w:val="24"/>
        </w:rPr>
        <w:t xml:space="preserve"> this process will be to detect recurrent design features of the high-injury network streets and street networks.</w:t>
      </w:r>
    </w:p>
    <w:p w14:paraId="559297AB" w14:textId="45B5FE6C" w:rsidR="007A6340" w:rsidRPr="007A6340" w:rsidRDefault="007A6340" w:rsidP="003A6114">
      <w:pPr>
        <w:pStyle w:val="Heading2"/>
      </w:pPr>
      <w:r w:rsidRPr="007A6340">
        <w:t>Relevance to Strategic Goals</w:t>
      </w:r>
    </w:p>
    <w:p w14:paraId="045D550B" w14:textId="0366D11A" w:rsidR="00802CDE" w:rsidRDefault="00802CDE" w:rsidP="00F74440">
      <w:pPr>
        <w:rPr>
          <w:rFonts w:eastAsia="Times New Roman" w:cs="Times New Roman"/>
          <w:color w:val="000000"/>
          <w:szCs w:val="24"/>
        </w:rPr>
      </w:pPr>
      <w:r w:rsidRPr="00802CDE">
        <w:rPr>
          <w:rFonts w:eastAsia="Times New Roman" w:cs="Times New Roman"/>
          <w:color w:val="000000"/>
          <w:szCs w:val="24"/>
        </w:rPr>
        <w:t>This project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802CDE">
        <w:rPr>
          <w:rFonts w:eastAsia="Times New Roman" w:cs="Times New Roman"/>
          <w:color w:val="000000"/>
          <w:szCs w:val="24"/>
        </w:rPr>
        <w:t>directly supports the USDOT</w:t>
      </w:r>
      <w:r w:rsidR="00ED7FCA">
        <w:rPr>
          <w:rFonts w:eastAsia="Times New Roman" w:cs="Times New Roman"/>
          <w:color w:val="000000"/>
          <w:szCs w:val="24"/>
        </w:rPr>
        <w:t>’</w:t>
      </w:r>
      <w:r w:rsidRPr="00802CDE">
        <w:rPr>
          <w:rFonts w:eastAsia="Times New Roman" w:cs="Times New Roman"/>
          <w:color w:val="000000"/>
          <w:szCs w:val="24"/>
        </w:rPr>
        <w:t xml:space="preserve">s strategic goal of enhancing safety. </w:t>
      </w:r>
      <w:r w:rsidR="00EA7145">
        <w:rPr>
          <w:rFonts w:eastAsia="Times New Roman" w:cs="Times New Roman"/>
          <w:color w:val="000000"/>
          <w:szCs w:val="24"/>
        </w:rPr>
        <w:t>By creating</w:t>
      </w:r>
      <w:r w:rsidRPr="00802CDE">
        <w:rPr>
          <w:rFonts w:eastAsia="Times New Roman" w:cs="Times New Roman"/>
          <w:color w:val="000000"/>
          <w:szCs w:val="24"/>
        </w:rPr>
        <w:t xml:space="preserve"> a</w:t>
      </w:r>
      <w:r w:rsidR="00EA7145">
        <w:rPr>
          <w:rFonts w:eastAsia="Times New Roman" w:cs="Times New Roman"/>
          <w:color w:val="000000"/>
          <w:szCs w:val="24"/>
        </w:rPr>
        <w:t xml:space="preserve"> common</w:t>
      </w:r>
      <w:r w:rsidRPr="00802CDE">
        <w:rPr>
          <w:rFonts w:eastAsia="Times New Roman" w:cs="Times New Roman"/>
          <w:color w:val="000000"/>
          <w:szCs w:val="24"/>
        </w:rPr>
        <w:t xml:space="preserve"> data-driven methodology to</w:t>
      </w:r>
      <w:r w:rsidR="00EA7145">
        <w:rPr>
          <w:rFonts w:eastAsia="Times New Roman" w:cs="Times New Roman"/>
          <w:color w:val="000000"/>
          <w:szCs w:val="24"/>
        </w:rPr>
        <w:t xml:space="preserve"> help cities</w:t>
      </w:r>
      <w:r w:rsidRPr="00802CDE">
        <w:rPr>
          <w:rFonts w:eastAsia="Times New Roman" w:cs="Times New Roman"/>
          <w:color w:val="000000"/>
          <w:szCs w:val="24"/>
        </w:rPr>
        <w:t xml:space="preserve"> identify </w:t>
      </w:r>
      <w:r w:rsidR="00EA7145">
        <w:rPr>
          <w:rFonts w:eastAsia="Times New Roman" w:cs="Times New Roman"/>
          <w:color w:val="000000"/>
          <w:szCs w:val="24"/>
        </w:rPr>
        <w:t xml:space="preserve">and compare their </w:t>
      </w:r>
      <w:r w:rsidRPr="00802CDE">
        <w:rPr>
          <w:rFonts w:eastAsia="Times New Roman" w:cs="Times New Roman"/>
          <w:color w:val="000000"/>
          <w:szCs w:val="24"/>
        </w:rPr>
        <w:t xml:space="preserve">high-injury networks, the project offers a scalable and replicable approach that can be adopted </w:t>
      </w:r>
      <w:r>
        <w:rPr>
          <w:rFonts w:eastAsia="Times New Roman" w:cs="Times New Roman"/>
          <w:color w:val="000000"/>
          <w:szCs w:val="24"/>
        </w:rPr>
        <w:t xml:space="preserve">both regional and </w:t>
      </w:r>
      <w:r w:rsidRPr="00802CDE">
        <w:rPr>
          <w:rFonts w:eastAsia="Times New Roman" w:cs="Times New Roman"/>
          <w:color w:val="000000"/>
          <w:szCs w:val="24"/>
        </w:rPr>
        <w:t>nationally</w:t>
      </w:r>
      <w:r>
        <w:rPr>
          <w:rFonts w:eastAsia="Times New Roman" w:cs="Times New Roman"/>
          <w:color w:val="000000"/>
          <w:szCs w:val="24"/>
        </w:rPr>
        <w:t xml:space="preserve">. </w:t>
      </w:r>
      <w:r w:rsidR="00EA7145">
        <w:rPr>
          <w:rFonts w:eastAsia="Times New Roman" w:cs="Times New Roman"/>
          <w:color w:val="000000"/>
          <w:szCs w:val="24"/>
        </w:rPr>
        <w:t>This will facilit</w:t>
      </w:r>
      <w:r w:rsidR="008E7D3A">
        <w:rPr>
          <w:rFonts w:eastAsia="Times New Roman" w:cs="Times New Roman"/>
          <w:color w:val="000000"/>
          <w:szCs w:val="24"/>
        </w:rPr>
        <w:t>ate</w:t>
      </w:r>
      <w:r w:rsidRPr="00802CDE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data informed decision-making, </w:t>
      </w:r>
      <w:r w:rsidRPr="00802CDE">
        <w:rPr>
          <w:rFonts w:eastAsia="Times New Roman" w:cs="Times New Roman"/>
          <w:color w:val="000000"/>
          <w:szCs w:val="24"/>
        </w:rPr>
        <w:t>comparativ</w:t>
      </w:r>
      <w:r>
        <w:rPr>
          <w:rFonts w:eastAsia="Times New Roman" w:cs="Times New Roman"/>
          <w:color w:val="000000"/>
          <w:szCs w:val="24"/>
        </w:rPr>
        <w:t>e ana</w:t>
      </w:r>
      <w:r w:rsidR="00EA7145">
        <w:rPr>
          <w:rFonts w:eastAsia="Times New Roman" w:cs="Times New Roman"/>
          <w:color w:val="000000"/>
          <w:szCs w:val="24"/>
        </w:rPr>
        <w:t xml:space="preserve">lysis, as well as benchmarking. But still, the bottom line is that this project will </w:t>
      </w:r>
      <w:r>
        <w:rPr>
          <w:rFonts w:eastAsia="Times New Roman" w:cs="Times New Roman"/>
          <w:color w:val="000000"/>
          <w:szCs w:val="24"/>
        </w:rPr>
        <w:t xml:space="preserve">help cities </w:t>
      </w:r>
      <w:r w:rsidRPr="00802CDE">
        <w:rPr>
          <w:rFonts w:eastAsia="Times New Roman" w:cs="Times New Roman"/>
          <w:color w:val="000000"/>
          <w:szCs w:val="24"/>
        </w:rPr>
        <w:t>shar</w:t>
      </w:r>
      <w:r>
        <w:rPr>
          <w:rFonts w:eastAsia="Times New Roman" w:cs="Times New Roman"/>
          <w:color w:val="000000"/>
          <w:szCs w:val="24"/>
        </w:rPr>
        <w:t xml:space="preserve">e </w:t>
      </w:r>
      <w:r w:rsidRPr="00802CDE">
        <w:rPr>
          <w:rFonts w:eastAsia="Times New Roman" w:cs="Times New Roman"/>
          <w:color w:val="000000"/>
          <w:szCs w:val="24"/>
        </w:rPr>
        <w:t>best practice</w:t>
      </w:r>
      <w:r>
        <w:rPr>
          <w:rFonts w:eastAsia="Times New Roman" w:cs="Times New Roman"/>
          <w:color w:val="000000"/>
          <w:szCs w:val="24"/>
        </w:rPr>
        <w:t>s and improve safety outcomes.</w:t>
      </w:r>
    </w:p>
    <w:p w14:paraId="559297AE" w14:textId="71EE5C09" w:rsidR="007A6340" w:rsidRPr="007A6340" w:rsidRDefault="007A6340" w:rsidP="00D8399F">
      <w:pPr>
        <w:pStyle w:val="Heading2"/>
      </w:pPr>
      <w:r w:rsidRPr="007A6340">
        <w:t>Educational Benefits</w:t>
      </w:r>
    </w:p>
    <w:p w14:paraId="7149B965" w14:textId="5AEEA0DC" w:rsidR="00551A76" w:rsidRPr="00EE659C" w:rsidRDefault="00551A76" w:rsidP="00D8399F">
      <w:pPr>
        <w:autoSpaceDE w:val="0"/>
        <w:autoSpaceDN w:val="0"/>
        <w:adjustRightInd w:val="0"/>
        <w:rPr>
          <w:rFonts w:cs="Times New Roman"/>
        </w:rPr>
      </w:pPr>
      <w:r w:rsidRPr="005A15BB">
        <w:rPr>
          <w:rFonts w:cs="Times New Roman"/>
        </w:rPr>
        <w:t xml:space="preserve">This study will provide opportunity for student research in terms of data collection, analysis, and paper writing. It </w:t>
      </w:r>
      <w:r w:rsidR="005A15BB" w:rsidRPr="005A15BB">
        <w:rPr>
          <w:rFonts w:cs="Times New Roman"/>
        </w:rPr>
        <w:t xml:space="preserve">will also be integrated into a </w:t>
      </w:r>
      <w:r w:rsidRPr="005A15BB">
        <w:rPr>
          <w:rFonts w:cs="Times New Roman"/>
        </w:rPr>
        <w:t xml:space="preserve">graduate-level </w:t>
      </w:r>
      <w:r w:rsidR="005A15BB" w:rsidRPr="005A15BB">
        <w:rPr>
          <w:rFonts w:cs="Times New Roman"/>
        </w:rPr>
        <w:t>Transportation System Safety</w:t>
      </w:r>
      <w:r w:rsidRPr="005A15BB">
        <w:rPr>
          <w:rFonts w:cs="Times New Roman"/>
        </w:rPr>
        <w:t xml:space="preserve"> course being offered in Fall 202</w:t>
      </w:r>
      <w:r w:rsidR="005A15BB" w:rsidRPr="005A15BB">
        <w:rPr>
          <w:rFonts w:cs="Times New Roman"/>
        </w:rPr>
        <w:t>4</w:t>
      </w:r>
      <w:r w:rsidRPr="005A15BB">
        <w:rPr>
          <w:rFonts w:cs="Times New Roman"/>
        </w:rPr>
        <w:t>. The resulting data will be made available to students for use in term projects, master’s reports, and PhD dissertation</w:t>
      </w:r>
      <w:r w:rsidR="005A15BB" w:rsidRPr="005A15BB">
        <w:rPr>
          <w:rFonts w:cs="Times New Roman"/>
        </w:rPr>
        <w:t>s</w:t>
      </w:r>
      <w:r w:rsidRPr="005A15BB">
        <w:rPr>
          <w:rFonts w:cs="Times New Roman"/>
        </w:rPr>
        <w:t>.</w:t>
      </w:r>
    </w:p>
    <w:p w14:paraId="559297B4" w14:textId="2FCD9076" w:rsidR="00022AF3" w:rsidRDefault="00BE2211" w:rsidP="00D8399F">
      <w:pPr>
        <w:pStyle w:val="Heading2"/>
      </w:pPr>
      <w:r>
        <w:t xml:space="preserve">Outputs through </w:t>
      </w:r>
      <w:r w:rsidR="00022AF3" w:rsidRPr="00022AF3">
        <w:t>Technology Transfer</w:t>
      </w:r>
    </w:p>
    <w:p w14:paraId="235B557E" w14:textId="6C4619B3" w:rsidR="000269B5" w:rsidRDefault="005A15BB" w:rsidP="00D8399F">
      <w:r>
        <w:t xml:space="preserve">The overarching goal is to disseminate the findings in a fashion that helps cities improve their road safety outcomes. </w:t>
      </w:r>
      <w:r w:rsidR="00452208">
        <w:t>So,</w:t>
      </w:r>
      <w:r>
        <w:t xml:space="preserve"> in addition to publishing papers in peer-reviewed journals and presenting at major transportation and urban planning conferences, we intend to </w:t>
      </w:r>
      <w:r w:rsidR="001B74BC">
        <w:t xml:space="preserve">share our methods and findings in less academic venues via op-eds, online videos, and workshops. </w:t>
      </w:r>
      <w:r w:rsidRPr="005A15BB">
        <w:t>We will also be sure to collect and organize our data and results in a non-proprietary format so that other researc</w:t>
      </w:r>
      <w:r w:rsidR="001B74BC">
        <w:t>hers can contribute to the work</w:t>
      </w:r>
      <w:r w:rsidR="003A6114">
        <w:t>.</w:t>
      </w:r>
    </w:p>
    <w:p w14:paraId="29FE6601" w14:textId="376DF338" w:rsidR="003A6114" w:rsidRPr="007A6340" w:rsidRDefault="003A6114" w:rsidP="003B7DA9">
      <w:pPr>
        <w:pStyle w:val="Heading2"/>
      </w:pPr>
      <w:r w:rsidRPr="007A6340">
        <w:lastRenderedPageBreak/>
        <w:t>Expected Outcomes</w:t>
      </w:r>
      <w:r w:rsidR="00811F79">
        <w:t xml:space="preserve"> and Impacts</w:t>
      </w:r>
    </w:p>
    <w:p w14:paraId="1F9C01FE" w14:textId="77777777" w:rsidR="003A6114" w:rsidRPr="00082F41" w:rsidRDefault="003A6114" w:rsidP="003B7DA9">
      <w:pPr>
        <w:keepNext/>
        <w:spacing w:after="0"/>
        <w:rPr>
          <w:rFonts w:eastAsia="Times New Roman" w:cs="Times New Roman"/>
          <w:color w:val="000000"/>
          <w:szCs w:val="24"/>
        </w:rPr>
      </w:pPr>
      <w:r w:rsidRPr="00082F41">
        <w:rPr>
          <w:rFonts w:eastAsia="Times New Roman" w:cs="Times New Roman"/>
          <w:color w:val="000000"/>
          <w:szCs w:val="24"/>
        </w:rPr>
        <w:t>The anticipated out</w:t>
      </w:r>
      <w:r>
        <w:rPr>
          <w:rFonts w:eastAsia="Times New Roman" w:cs="Times New Roman"/>
          <w:color w:val="000000"/>
          <w:szCs w:val="24"/>
        </w:rPr>
        <w:t>comes of this research include:</w:t>
      </w:r>
    </w:p>
    <w:p w14:paraId="3F0527A5" w14:textId="77777777" w:rsidR="003A6114" w:rsidRDefault="003A6114" w:rsidP="003B7DA9">
      <w:pPr>
        <w:pStyle w:val="ListParagraph"/>
        <w:keepLines/>
        <w:numPr>
          <w:ilvl w:val="0"/>
          <w:numId w:val="10"/>
        </w:num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Development of a</w:t>
      </w:r>
      <w:r w:rsidRPr="000269B5">
        <w:rPr>
          <w:rFonts w:eastAsia="Times New Roman" w:cs="Times New Roman"/>
          <w:color w:val="000000"/>
          <w:szCs w:val="24"/>
        </w:rPr>
        <w:t xml:space="preserve"> standardized approach to high-injury network analysis </w:t>
      </w:r>
    </w:p>
    <w:p w14:paraId="43CEAB86" w14:textId="77777777" w:rsidR="003A6114" w:rsidRDefault="003A6114" w:rsidP="003B7DA9">
      <w:pPr>
        <w:pStyle w:val="ListParagraph"/>
        <w:keepLines/>
        <w:numPr>
          <w:ilvl w:val="0"/>
          <w:numId w:val="10"/>
        </w:num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Understanding into common</w:t>
      </w:r>
      <w:r w:rsidRPr="000269B5">
        <w:rPr>
          <w:rFonts w:eastAsia="Times New Roman" w:cs="Times New Roman"/>
          <w:color w:val="000000"/>
          <w:szCs w:val="24"/>
        </w:rPr>
        <w:t xml:space="preserve"> conditions of high-injury networks across </w:t>
      </w:r>
      <w:r>
        <w:rPr>
          <w:rFonts w:eastAsia="Times New Roman" w:cs="Times New Roman"/>
          <w:color w:val="000000"/>
          <w:szCs w:val="24"/>
        </w:rPr>
        <w:t>different cities</w:t>
      </w:r>
    </w:p>
    <w:p w14:paraId="6A971190" w14:textId="77777777" w:rsidR="003A6114" w:rsidRDefault="003A6114" w:rsidP="003B7DA9">
      <w:pPr>
        <w:pStyle w:val="ListParagraph"/>
        <w:keepLines/>
        <w:numPr>
          <w:ilvl w:val="0"/>
          <w:numId w:val="10"/>
        </w:num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Identification of </w:t>
      </w:r>
      <w:r w:rsidRPr="000269B5">
        <w:rPr>
          <w:rFonts w:eastAsia="Times New Roman" w:cs="Times New Roman"/>
          <w:color w:val="000000"/>
          <w:szCs w:val="24"/>
        </w:rPr>
        <w:t xml:space="preserve">street and network design </w:t>
      </w:r>
      <w:r>
        <w:rPr>
          <w:rFonts w:eastAsia="Times New Roman" w:cs="Times New Roman"/>
          <w:color w:val="000000"/>
          <w:szCs w:val="24"/>
        </w:rPr>
        <w:t>issues that may be</w:t>
      </w:r>
      <w:r w:rsidRPr="000269B5">
        <w:rPr>
          <w:rFonts w:eastAsia="Times New Roman" w:cs="Times New Roman"/>
          <w:color w:val="000000"/>
          <w:szCs w:val="24"/>
        </w:rPr>
        <w:t xml:space="preserve"> contributing to </w:t>
      </w:r>
      <w:r>
        <w:rPr>
          <w:rFonts w:eastAsia="Times New Roman" w:cs="Times New Roman"/>
          <w:color w:val="000000"/>
          <w:szCs w:val="24"/>
        </w:rPr>
        <w:t>high injury and fatality rates</w:t>
      </w:r>
    </w:p>
    <w:p w14:paraId="4089B201" w14:textId="77777777" w:rsidR="003A6114" w:rsidRDefault="003A6114" w:rsidP="003B7DA9">
      <w:pPr>
        <w:pStyle w:val="ListParagraph"/>
        <w:keepLines/>
        <w:numPr>
          <w:ilvl w:val="0"/>
          <w:numId w:val="10"/>
        </w:num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Fostering of</w:t>
      </w:r>
      <w:r w:rsidRPr="000269B5">
        <w:rPr>
          <w:rFonts w:eastAsia="Times New Roman" w:cs="Times New Roman"/>
          <w:color w:val="000000"/>
          <w:szCs w:val="24"/>
        </w:rPr>
        <w:t xml:space="preserve"> a</w:t>
      </w:r>
      <w:r>
        <w:rPr>
          <w:rFonts w:eastAsia="Times New Roman" w:cs="Times New Roman"/>
          <w:color w:val="000000"/>
          <w:szCs w:val="24"/>
        </w:rPr>
        <w:t xml:space="preserve"> more</w:t>
      </w:r>
      <w:r w:rsidRPr="000269B5">
        <w:rPr>
          <w:rFonts w:eastAsia="Times New Roman" w:cs="Times New Roman"/>
          <w:color w:val="000000"/>
          <w:szCs w:val="24"/>
        </w:rPr>
        <w:t xml:space="preserve"> unified approach </w:t>
      </w:r>
      <w:r>
        <w:rPr>
          <w:rFonts w:eastAsia="Times New Roman" w:cs="Times New Roman"/>
          <w:color w:val="000000"/>
          <w:szCs w:val="24"/>
        </w:rPr>
        <w:t>across cities when it comes to identifying road safety issues and improving</w:t>
      </w:r>
      <w:r w:rsidRPr="000269B5">
        <w:rPr>
          <w:rFonts w:eastAsia="Times New Roman" w:cs="Times New Roman"/>
          <w:color w:val="000000"/>
          <w:szCs w:val="24"/>
        </w:rPr>
        <w:t xml:space="preserve"> road safety</w:t>
      </w:r>
      <w:r>
        <w:rPr>
          <w:rFonts w:eastAsia="Times New Roman" w:cs="Times New Roman"/>
          <w:color w:val="000000"/>
          <w:szCs w:val="24"/>
        </w:rPr>
        <w:t xml:space="preserve"> outcomes</w:t>
      </w:r>
    </w:p>
    <w:p w14:paraId="373C93C9" w14:textId="4404E2E0" w:rsidR="003A6114" w:rsidRPr="003A6114" w:rsidRDefault="003A6114" w:rsidP="003B7DA9">
      <w:pPr>
        <w:pStyle w:val="ListParagraph"/>
        <w:keepLines/>
        <w:numPr>
          <w:ilvl w:val="0"/>
          <w:numId w:val="10"/>
        </w:num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S</w:t>
      </w:r>
      <w:r w:rsidRPr="000269B5">
        <w:rPr>
          <w:rFonts w:eastAsia="Times New Roman" w:cs="Times New Roman"/>
          <w:color w:val="000000"/>
          <w:szCs w:val="24"/>
        </w:rPr>
        <w:t>upporting the broader goal of preserving existin</w:t>
      </w:r>
      <w:r>
        <w:rPr>
          <w:rFonts w:eastAsia="Times New Roman" w:cs="Times New Roman"/>
          <w:color w:val="000000"/>
          <w:szCs w:val="24"/>
        </w:rPr>
        <w:t>g transportation infrastructure by arming cities with the information needed to target their road safety interventions</w:t>
      </w:r>
    </w:p>
    <w:p w14:paraId="23D8716F" w14:textId="77777777" w:rsidR="00203382" w:rsidRDefault="002841D7" w:rsidP="003B7DA9">
      <w:pPr>
        <w:pStyle w:val="Heading2"/>
      </w:pPr>
      <w:r w:rsidRPr="007A6340">
        <w:t>Work Plan</w:t>
      </w:r>
    </w:p>
    <w:p w14:paraId="62BBEB90" w14:textId="64E31305" w:rsidR="002841D7" w:rsidRPr="005A40DF" w:rsidRDefault="005A40DF" w:rsidP="003B7DA9">
      <w:r w:rsidRPr="005A40DF">
        <w:t>The proposed scope of work i</w:t>
      </w:r>
      <w:r w:rsidR="00203382">
        <w:t xml:space="preserve">s scheduled for </w:t>
      </w:r>
      <w:r w:rsidRPr="005A40DF">
        <w:t xml:space="preserve">one-year </w:t>
      </w:r>
      <w:r w:rsidR="00203382">
        <w:t>and will adhere to</w:t>
      </w:r>
      <w:r>
        <w:t xml:space="preserve"> the following </w:t>
      </w:r>
      <w:r w:rsidR="00203382">
        <w:t>timeframe: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320"/>
      </w:tblGrid>
      <w:tr w:rsidR="001B74BC" w:rsidRPr="00EE659C" w14:paraId="5F9D06C9" w14:textId="77777777" w:rsidTr="008445AB">
        <w:tc>
          <w:tcPr>
            <w:tcW w:w="6030" w:type="dxa"/>
            <w:tcBorders>
              <w:right w:val="nil"/>
            </w:tcBorders>
          </w:tcPr>
          <w:p w14:paraId="07F7422D" w14:textId="77777777" w:rsidR="001B74BC" w:rsidRPr="00EE659C" w:rsidRDefault="001B74BC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>Task</w:t>
            </w:r>
          </w:p>
        </w:tc>
        <w:tc>
          <w:tcPr>
            <w:tcW w:w="3320" w:type="dxa"/>
            <w:tcBorders>
              <w:top w:val="nil"/>
              <w:left w:val="nil"/>
            </w:tcBorders>
          </w:tcPr>
          <w:p w14:paraId="33B270C5" w14:textId="77777777" w:rsidR="001B74BC" w:rsidRPr="00EE659C" w:rsidRDefault="001B74BC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>Timeline</w:t>
            </w:r>
          </w:p>
        </w:tc>
      </w:tr>
      <w:tr w:rsidR="001B74BC" w:rsidRPr="00EE659C" w14:paraId="7FB7C14F" w14:textId="77777777" w:rsidTr="008445AB">
        <w:tc>
          <w:tcPr>
            <w:tcW w:w="6030" w:type="dxa"/>
            <w:tcBorders>
              <w:bottom w:val="nil"/>
              <w:right w:val="nil"/>
            </w:tcBorders>
          </w:tcPr>
          <w:p w14:paraId="261A4954" w14:textId="77777777" w:rsidR="001B74BC" w:rsidRPr="00EE659C" w:rsidRDefault="001B74BC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>Literature review</w:t>
            </w:r>
          </w:p>
        </w:tc>
        <w:tc>
          <w:tcPr>
            <w:tcW w:w="3320" w:type="dxa"/>
            <w:tcBorders>
              <w:left w:val="nil"/>
              <w:bottom w:val="nil"/>
            </w:tcBorders>
          </w:tcPr>
          <w:p w14:paraId="597BDC1A" w14:textId="77777777" w:rsidR="001B74BC" w:rsidRPr="00EE659C" w:rsidRDefault="001B74BC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>Months 1 – 2</w:t>
            </w:r>
          </w:p>
        </w:tc>
      </w:tr>
      <w:tr w:rsidR="007077F3" w:rsidRPr="00EE659C" w14:paraId="6C83A0B4" w14:textId="77777777" w:rsidTr="008445AB">
        <w:tc>
          <w:tcPr>
            <w:tcW w:w="6030" w:type="dxa"/>
            <w:tcBorders>
              <w:top w:val="nil"/>
              <w:bottom w:val="nil"/>
              <w:right w:val="nil"/>
            </w:tcBorders>
          </w:tcPr>
          <w:p w14:paraId="7E2C3994" w14:textId="024FCAFE" w:rsidR="007077F3" w:rsidRDefault="007077F3" w:rsidP="00E41CAE">
            <w:pPr>
              <w:tabs>
                <w:tab w:val="left" w:pos="3315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Identify data sources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</w:tcBorders>
          </w:tcPr>
          <w:p w14:paraId="01A9DCAE" w14:textId="71A945CA" w:rsidR="007077F3" w:rsidRPr="00EE659C" w:rsidRDefault="007077F3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 xml:space="preserve">Months </w:t>
            </w:r>
            <w:r>
              <w:rPr>
                <w:rFonts w:cs="Times New Roman"/>
                <w:szCs w:val="24"/>
              </w:rPr>
              <w:t>1</w:t>
            </w:r>
            <w:r w:rsidRPr="00EE659C">
              <w:rPr>
                <w:rFonts w:cs="Times New Roman"/>
                <w:szCs w:val="24"/>
              </w:rPr>
              <w:t xml:space="preserve"> – 3</w:t>
            </w:r>
          </w:p>
        </w:tc>
      </w:tr>
      <w:tr w:rsidR="001C0B32" w:rsidRPr="00EE659C" w14:paraId="53B947F1" w14:textId="77777777" w:rsidTr="008445AB">
        <w:tc>
          <w:tcPr>
            <w:tcW w:w="6030" w:type="dxa"/>
            <w:tcBorders>
              <w:top w:val="nil"/>
              <w:bottom w:val="nil"/>
              <w:right w:val="nil"/>
            </w:tcBorders>
          </w:tcPr>
          <w:p w14:paraId="45BB9CC1" w14:textId="19168991" w:rsidR="001C0B32" w:rsidRDefault="001C0B32" w:rsidP="00E41CAE">
            <w:pPr>
              <w:tabs>
                <w:tab w:val="left" w:pos="3315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Develop methodology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</w:tcBorders>
          </w:tcPr>
          <w:p w14:paraId="49797639" w14:textId="56805FEA" w:rsidR="001C0B32" w:rsidRPr="00EE659C" w:rsidRDefault="001C0B32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 xml:space="preserve">Months 3 – </w:t>
            </w:r>
            <w:r>
              <w:rPr>
                <w:rFonts w:cs="Times New Roman"/>
                <w:szCs w:val="24"/>
              </w:rPr>
              <w:t>5</w:t>
            </w:r>
          </w:p>
        </w:tc>
      </w:tr>
      <w:tr w:rsidR="001B74BC" w:rsidRPr="00EE659C" w14:paraId="0B5D58CA" w14:textId="77777777" w:rsidTr="008445AB">
        <w:tc>
          <w:tcPr>
            <w:tcW w:w="6030" w:type="dxa"/>
            <w:tcBorders>
              <w:top w:val="nil"/>
              <w:bottom w:val="nil"/>
              <w:right w:val="nil"/>
            </w:tcBorders>
          </w:tcPr>
          <w:p w14:paraId="3563B7A4" w14:textId="7BE156BD" w:rsidR="001B74BC" w:rsidRPr="00EE659C" w:rsidRDefault="0097497B" w:rsidP="00E41CAE">
            <w:pPr>
              <w:tabs>
                <w:tab w:val="left" w:pos="3315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Test and validate methodology in real cities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</w:tcBorders>
          </w:tcPr>
          <w:p w14:paraId="62AFBFC8" w14:textId="77777777" w:rsidR="001B74BC" w:rsidRPr="00EE659C" w:rsidRDefault="001B74BC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>Months 5 – 7</w:t>
            </w:r>
          </w:p>
        </w:tc>
      </w:tr>
      <w:tr w:rsidR="001B74BC" w:rsidRPr="00EE659C" w14:paraId="7DDF0E95" w14:textId="77777777" w:rsidTr="008445AB">
        <w:tc>
          <w:tcPr>
            <w:tcW w:w="6030" w:type="dxa"/>
            <w:tcBorders>
              <w:top w:val="nil"/>
              <w:bottom w:val="nil"/>
              <w:right w:val="nil"/>
            </w:tcBorders>
          </w:tcPr>
          <w:p w14:paraId="1723FDE6" w14:textId="65B60162" w:rsidR="001B74BC" w:rsidRPr="00EE659C" w:rsidRDefault="0097497B" w:rsidP="0097497B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Apply methodology to larger set of cities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</w:tcBorders>
          </w:tcPr>
          <w:p w14:paraId="5AD02317" w14:textId="77777777" w:rsidR="001B74BC" w:rsidRPr="00EE659C" w:rsidRDefault="001B74BC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>Months 7 – 9</w:t>
            </w:r>
          </w:p>
        </w:tc>
      </w:tr>
      <w:tr w:rsidR="001B74BC" w:rsidRPr="00EE659C" w14:paraId="7592BA36" w14:textId="77777777" w:rsidTr="008445AB">
        <w:tc>
          <w:tcPr>
            <w:tcW w:w="6030" w:type="dxa"/>
            <w:tcBorders>
              <w:top w:val="nil"/>
              <w:bottom w:val="nil"/>
              <w:right w:val="nil"/>
            </w:tcBorders>
          </w:tcPr>
          <w:p w14:paraId="713F532D" w14:textId="12E6C7E9" w:rsidR="001B74BC" w:rsidRPr="00EE659C" w:rsidRDefault="0097497B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 xml:space="preserve">Analyze </w:t>
            </w:r>
            <w:r>
              <w:rPr>
                <w:rFonts w:cs="Times New Roman"/>
                <w:szCs w:val="24"/>
              </w:rPr>
              <w:t>results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</w:tcBorders>
          </w:tcPr>
          <w:p w14:paraId="2566D8AA" w14:textId="77777777" w:rsidR="001B74BC" w:rsidRPr="00EE659C" w:rsidRDefault="001B74BC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>Months 9 – 10</w:t>
            </w:r>
          </w:p>
        </w:tc>
      </w:tr>
      <w:tr w:rsidR="008445AB" w:rsidRPr="00EE659C" w14:paraId="1B284435" w14:textId="77777777" w:rsidTr="008445AB">
        <w:tc>
          <w:tcPr>
            <w:tcW w:w="6030" w:type="dxa"/>
            <w:tcBorders>
              <w:top w:val="nil"/>
              <w:bottom w:val="nil"/>
              <w:right w:val="nil"/>
            </w:tcBorders>
          </w:tcPr>
          <w:p w14:paraId="69373047" w14:textId="215C250A" w:rsidR="008445AB" w:rsidRPr="00EE659C" w:rsidRDefault="008445AB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>Incorporate lessons into classes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</w:tcBorders>
          </w:tcPr>
          <w:p w14:paraId="0543F55A" w14:textId="1D9733DB" w:rsidR="008445AB" w:rsidRPr="00EE659C" w:rsidRDefault="008445AB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 xml:space="preserve">Months </w:t>
            </w:r>
            <w:r>
              <w:rPr>
                <w:rFonts w:cs="Times New Roman"/>
                <w:szCs w:val="24"/>
              </w:rPr>
              <w:t>9</w:t>
            </w:r>
            <w:r w:rsidRPr="00EE659C">
              <w:rPr>
                <w:rFonts w:cs="Times New Roman"/>
                <w:szCs w:val="24"/>
              </w:rPr>
              <w:t xml:space="preserve"> – 10</w:t>
            </w:r>
          </w:p>
        </w:tc>
      </w:tr>
      <w:tr w:rsidR="001B74BC" w:rsidRPr="00EE659C" w14:paraId="28B68B81" w14:textId="77777777" w:rsidTr="008445AB">
        <w:tc>
          <w:tcPr>
            <w:tcW w:w="6030" w:type="dxa"/>
            <w:tcBorders>
              <w:top w:val="nil"/>
              <w:bottom w:val="nil"/>
              <w:right w:val="nil"/>
            </w:tcBorders>
          </w:tcPr>
          <w:p w14:paraId="7ABD6684" w14:textId="77777777" w:rsidR="001B74BC" w:rsidRPr="00EE659C" w:rsidRDefault="001B74BC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>Draft paper and presentation materials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</w:tcBorders>
          </w:tcPr>
          <w:p w14:paraId="1F80BBEF" w14:textId="77777777" w:rsidR="001B74BC" w:rsidRPr="00EE659C" w:rsidRDefault="001B74BC" w:rsidP="00E41CA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EE659C">
              <w:rPr>
                <w:rFonts w:cs="Times New Roman"/>
                <w:szCs w:val="24"/>
              </w:rPr>
              <w:t>Months 10 – 12</w:t>
            </w:r>
          </w:p>
        </w:tc>
      </w:tr>
    </w:tbl>
    <w:p w14:paraId="559297B7" w14:textId="417602B2" w:rsidR="007A6340" w:rsidRDefault="00073055" w:rsidP="00E00FB7">
      <w:pPr>
        <w:pStyle w:val="Heading2"/>
        <w:spacing w:before="360"/>
      </w:pPr>
      <w:r w:rsidRPr="00073055">
        <w:t>Project Cost</w:t>
      </w:r>
    </w:p>
    <w:p w14:paraId="257B9F1A" w14:textId="45CE6505" w:rsidR="00860AF6" w:rsidRPr="00F305CF" w:rsidRDefault="00860AF6" w:rsidP="00F06988">
      <w:pPr>
        <w:keepNext/>
        <w:tabs>
          <w:tab w:val="left" w:pos="2880"/>
          <w:tab w:val="decimal" w:pos="3780"/>
        </w:tabs>
        <w:spacing w:after="0"/>
        <w:ind w:left="2880" w:hanging="2880"/>
        <w:rPr>
          <w:rFonts w:eastAsia="Times New Roman" w:cs="Times New Roman"/>
          <w:color w:val="000000"/>
          <w:szCs w:val="24"/>
        </w:rPr>
      </w:pPr>
      <w:r w:rsidRPr="00F305CF">
        <w:rPr>
          <w:rFonts w:eastAsia="Times New Roman" w:cs="Times New Roman"/>
          <w:color w:val="000000"/>
          <w:szCs w:val="24"/>
        </w:rPr>
        <w:t>Total Project Costs:</w:t>
      </w:r>
      <w:r w:rsidR="008E7D3A">
        <w:rPr>
          <w:rFonts w:eastAsia="Times New Roman" w:cs="Times New Roman"/>
          <w:color w:val="000000"/>
          <w:szCs w:val="24"/>
        </w:rPr>
        <w:tab/>
      </w:r>
      <w:r w:rsidR="000440CC">
        <w:rPr>
          <w:rFonts w:eastAsia="Times New Roman" w:cs="Times New Roman"/>
          <w:color w:val="000000"/>
          <w:szCs w:val="24"/>
        </w:rPr>
        <w:t>$</w:t>
      </w:r>
      <w:r w:rsidR="000440CC" w:rsidRPr="000440CC">
        <w:rPr>
          <w:rFonts w:eastAsia="Times New Roman" w:cs="Times New Roman"/>
          <w:color w:val="000000"/>
          <w:szCs w:val="24"/>
        </w:rPr>
        <w:t>2</w:t>
      </w:r>
      <w:r w:rsidR="00C927B7">
        <w:rPr>
          <w:rFonts w:eastAsia="Times New Roman" w:cs="Times New Roman"/>
          <w:color w:val="000000"/>
          <w:szCs w:val="24"/>
        </w:rPr>
        <w:t>5</w:t>
      </w:r>
      <w:r w:rsidR="000440CC" w:rsidRPr="000440CC">
        <w:rPr>
          <w:rFonts w:eastAsia="Times New Roman" w:cs="Times New Roman"/>
          <w:color w:val="000000"/>
          <w:szCs w:val="24"/>
        </w:rPr>
        <w:t>1</w:t>
      </w:r>
      <w:r w:rsidR="000440CC">
        <w:rPr>
          <w:rFonts w:eastAsia="Times New Roman" w:cs="Times New Roman"/>
          <w:color w:val="000000"/>
          <w:szCs w:val="24"/>
        </w:rPr>
        <w:t>,</w:t>
      </w:r>
      <w:r w:rsidR="000440CC" w:rsidRPr="000440CC">
        <w:rPr>
          <w:rFonts w:eastAsia="Times New Roman" w:cs="Times New Roman"/>
          <w:color w:val="000000"/>
          <w:szCs w:val="24"/>
        </w:rPr>
        <w:t>330</w:t>
      </w:r>
    </w:p>
    <w:p w14:paraId="12936C1C" w14:textId="7C76B734" w:rsidR="00860AF6" w:rsidRPr="00F305CF" w:rsidRDefault="00860AF6" w:rsidP="00F06988">
      <w:pPr>
        <w:keepNext/>
        <w:tabs>
          <w:tab w:val="left" w:pos="2880"/>
          <w:tab w:val="decimal" w:pos="3780"/>
        </w:tabs>
        <w:spacing w:after="0"/>
        <w:ind w:left="2880" w:hanging="288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CTIPS</w:t>
      </w:r>
      <w:r w:rsidR="009B0BF5">
        <w:rPr>
          <w:rFonts w:eastAsia="Times New Roman" w:cs="Times New Roman"/>
          <w:color w:val="000000"/>
          <w:szCs w:val="24"/>
        </w:rPr>
        <w:t xml:space="preserve"> Funds Requested:</w:t>
      </w:r>
      <w:r w:rsidR="008E7D3A">
        <w:rPr>
          <w:rFonts w:eastAsia="Times New Roman" w:cs="Times New Roman"/>
          <w:color w:val="000000"/>
          <w:szCs w:val="24"/>
        </w:rPr>
        <w:tab/>
      </w:r>
      <w:r w:rsidR="000440CC">
        <w:rPr>
          <w:rFonts w:eastAsia="Times New Roman" w:cs="Times New Roman"/>
          <w:color w:val="000000"/>
          <w:szCs w:val="24"/>
        </w:rPr>
        <w:t>$</w:t>
      </w:r>
      <w:r w:rsidR="000440CC" w:rsidRPr="000440CC">
        <w:rPr>
          <w:rFonts w:eastAsia="Times New Roman" w:cs="Times New Roman"/>
          <w:color w:val="000000"/>
          <w:szCs w:val="24"/>
        </w:rPr>
        <w:t>1</w:t>
      </w:r>
      <w:r w:rsidR="00C927B7">
        <w:rPr>
          <w:rFonts w:eastAsia="Times New Roman" w:cs="Times New Roman"/>
          <w:color w:val="000000"/>
          <w:szCs w:val="24"/>
        </w:rPr>
        <w:t>2</w:t>
      </w:r>
      <w:r w:rsidR="000440CC" w:rsidRPr="000440CC">
        <w:rPr>
          <w:rFonts w:eastAsia="Times New Roman" w:cs="Times New Roman"/>
          <w:color w:val="000000"/>
          <w:szCs w:val="24"/>
        </w:rPr>
        <w:t>5</w:t>
      </w:r>
      <w:r w:rsidR="000440CC">
        <w:rPr>
          <w:rFonts w:eastAsia="Times New Roman" w:cs="Times New Roman"/>
          <w:color w:val="000000"/>
          <w:szCs w:val="24"/>
        </w:rPr>
        <w:t>,</w:t>
      </w:r>
      <w:r w:rsidR="000440CC" w:rsidRPr="000440CC">
        <w:rPr>
          <w:rFonts w:eastAsia="Times New Roman" w:cs="Times New Roman"/>
          <w:color w:val="000000"/>
          <w:szCs w:val="24"/>
        </w:rPr>
        <w:t>665</w:t>
      </w:r>
    </w:p>
    <w:p w14:paraId="3CA72279" w14:textId="6D396DAC" w:rsidR="00860AF6" w:rsidRPr="00F305CF" w:rsidRDefault="009B0BF5" w:rsidP="00F06988">
      <w:pPr>
        <w:keepNext/>
        <w:tabs>
          <w:tab w:val="left" w:pos="2880"/>
          <w:tab w:val="decimal" w:pos="3780"/>
        </w:tabs>
        <w:spacing w:after="0"/>
        <w:ind w:left="2880" w:hanging="288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Matching Funds:</w:t>
      </w:r>
      <w:r w:rsidR="008E7D3A">
        <w:rPr>
          <w:rFonts w:eastAsia="Times New Roman" w:cs="Times New Roman"/>
          <w:color w:val="000000"/>
          <w:szCs w:val="24"/>
        </w:rPr>
        <w:tab/>
      </w:r>
      <w:r w:rsidR="000440CC">
        <w:rPr>
          <w:rFonts w:eastAsia="Times New Roman" w:cs="Times New Roman"/>
          <w:color w:val="000000"/>
          <w:szCs w:val="24"/>
        </w:rPr>
        <w:t>$</w:t>
      </w:r>
      <w:r w:rsidR="000440CC" w:rsidRPr="000440CC">
        <w:rPr>
          <w:rFonts w:eastAsia="Times New Roman" w:cs="Times New Roman"/>
          <w:color w:val="000000"/>
          <w:szCs w:val="24"/>
        </w:rPr>
        <w:t>1</w:t>
      </w:r>
      <w:r w:rsidR="00C927B7">
        <w:rPr>
          <w:rFonts w:eastAsia="Times New Roman" w:cs="Times New Roman"/>
          <w:color w:val="000000"/>
          <w:szCs w:val="24"/>
        </w:rPr>
        <w:t>2</w:t>
      </w:r>
      <w:r w:rsidR="000440CC" w:rsidRPr="000440CC">
        <w:rPr>
          <w:rFonts w:eastAsia="Times New Roman" w:cs="Times New Roman"/>
          <w:color w:val="000000"/>
          <w:szCs w:val="24"/>
        </w:rPr>
        <w:t>5</w:t>
      </w:r>
      <w:r w:rsidR="000440CC">
        <w:rPr>
          <w:rFonts w:eastAsia="Times New Roman" w:cs="Times New Roman"/>
          <w:color w:val="000000"/>
          <w:szCs w:val="24"/>
        </w:rPr>
        <w:t>,</w:t>
      </w:r>
      <w:r w:rsidR="000440CC" w:rsidRPr="000440CC">
        <w:rPr>
          <w:rFonts w:eastAsia="Times New Roman" w:cs="Times New Roman"/>
          <w:color w:val="000000"/>
          <w:szCs w:val="24"/>
        </w:rPr>
        <w:t>665</w:t>
      </w:r>
    </w:p>
    <w:p w14:paraId="09D53DC2" w14:textId="4EDFC84E" w:rsidR="001351D3" w:rsidRDefault="00860AF6" w:rsidP="00E00FB7">
      <w:pPr>
        <w:ind w:left="2880" w:hanging="2880"/>
        <w:rPr>
          <w:rFonts w:eastAsia="Times New Roman" w:cs="Times New Roman"/>
          <w:color w:val="000000"/>
          <w:szCs w:val="24"/>
        </w:rPr>
      </w:pPr>
      <w:r w:rsidRPr="00F305CF">
        <w:rPr>
          <w:rFonts w:eastAsia="Times New Roman" w:cs="Times New Roman"/>
          <w:color w:val="000000"/>
          <w:szCs w:val="24"/>
        </w:rPr>
        <w:t>Source of Matching Funds:</w:t>
      </w:r>
      <w:r>
        <w:rPr>
          <w:rFonts w:eastAsia="Times New Roman" w:cs="Times New Roman"/>
          <w:color w:val="000000"/>
          <w:szCs w:val="24"/>
        </w:rPr>
        <w:tab/>
      </w:r>
      <w:r w:rsidR="00401926">
        <w:rPr>
          <w:rFonts w:eastAsia="Times New Roman" w:cs="Times New Roman"/>
          <w:color w:val="000000"/>
          <w:szCs w:val="24"/>
        </w:rPr>
        <w:t>University of Colorado Denver</w:t>
      </w:r>
    </w:p>
    <w:p w14:paraId="2AD07A66" w14:textId="5FE2AA0D" w:rsidR="000269B5" w:rsidRPr="000269B5" w:rsidRDefault="00073055" w:rsidP="00E00FB7">
      <w:pPr>
        <w:pStyle w:val="Heading2"/>
      </w:pPr>
      <w:r w:rsidRPr="00073055">
        <w:t>References</w:t>
      </w:r>
    </w:p>
    <w:p w14:paraId="3219060D" w14:textId="071EFE18" w:rsidR="000269B5" w:rsidRPr="004B1CD2" w:rsidRDefault="000269B5" w:rsidP="00682FE1">
      <w:pPr>
        <w:keepLines/>
        <w:spacing w:after="120"/>
        <w:rPr>
          <w:sz w:val="22"/>
          <w:szCs w:val="20"/>
        </w:rPr>
      </w:pPr>
      <w:r w:rsidRPr="004B1CD2">
        <w:rPr>
          <w:sz w:val="22"/>
          <w:szCs w:val="20"/>
        </w:rPr>
        <w:t xml:space="preserve">Vision Zero Network. </w:t>
      </w:r>
      <w:r w:rsidR="00682FE1">
        <w:rPr>
          <w:sz w:val="22"/>
          <w:szCs w:val="20"/>
        </w:rPr>
        <w:t>“</w:t>
      </w:r>
      <w:r w:rsidRPr="004B1CD2">
        <w:rPr>
          <w:sz w:val="22"/>
          <w:szCs w:val="20"/>
        </w:rPr>
        <w:t>What is Vision Zero?</w:t>
      </w:r>
      <w:r w:rsidR="00682FE1">
        <w:rPr>
          <w:sz w:val="22"/>
          <w:szCs w:val="20"/>
        </w:rPr>
        <w:t>”</w:t>
      </w:r>
      <w:r w:rsidRPr="004B1CD2">
        <w:rPr>
          <w:sz w:val="22"/>
          <w:szCs w:val="20"/>
        </w:rPr>
        <w:t xml:space="preserve"> (2018).</w:t>
      </w:r>
    </w:p>
    <w:p w14:paraId="6A59FDEE" w14:textId="20BB1966" w:rsidR="000269B5" w:rsidRPr="004B1CD2" w:rsidRDefault="000269B5" w:rsidP="00682FE1">
      <w:pPr>
        <w:keepLines/>
        <w:spacing w:after="120"/>
        <w:rPr>
          <w:sz w:val="22"/>
          <w:szCs w:val="20"/>
        </w:rPr>
      </w:pPr>
      <w:r w:rsidRPr="004B1CD2">
        <w:rPr>
          <w:sz w:val="22"/>
          <w:szCs w:val="20"/>
        </w:rPr>
        <w:t xml:space="preserve">Saxton, John. </w:t>
      </w:r>
      <w:r w:rsidR="00682FE1">
        <w:rPr>
          <w:sz w:val="22"/>
          <w:szCs w:val="20"/>
        </w:rPr>
        <w:t>“</w:t>
      </w:r>
      <w:r w:rsidRPr="004B1CD2">
        <w:rPr>
          <w:sz w:val="22"/>
          <w:szCs w:val="20"/>
        </w:rPr>
        <w:t xml:space="preserve">A High-Injury Network for Atlanta: </w:t>
      </w:r>
      <w:r w:rsidR="00EB3CE5" w:rsidRPr="00EB3CE5">
        <w:rPr>
          <w:sz w:val="22"/>
          <w:szCs w:val="20"/>
        </w:rPr>
        <w:t>How Are Severe and Fatal-Injury Crashes Concentrated on Atlanta’s Streets?</w:t>
      </w:r>
      <w:r w:rsidR="00682FE1">
        <w:rPr>
          <w:sz w:val="22"/>
          <w:szCs w:val="20"/>
        </w:rPr>
        <w:t>”</w:t>
      </w:r>
      <w:r w:rsidRPr="004B1CD2">
        <w:rPr>
          <w:sz w:val="22"/>
          <w:szCs w:val="20"/>
        </w:rPr>
        <w:t xml:space="preserve"> (2018).</w:t>
      </w:r>
    </w:p>
    <w:p w14:paraId="68193715" w14:textId="5D55F24E" w:rsidR="000269B5" w:rsidRPr="004B1CD2" w:rsidRDefault="000269B5" w:rsidP="00682FE1">
      <w:pPr>
        <w:keepLines/>
        <w:spacing w:after="120"/>
        <w:rPr>
          <w:sz w:val="22"/>
          <w:szCs w:val="20"/>
        </w:rPr>
      </w:pPr>
      <w:r w:rsidRPr="004B1CD2">
        <w:rPr>
          <w:sz w:val="22"/>
          <w:szCs w:val="20"/>
        </w:rPr>
        <w:t xml:space="preserve">Claros, Boris, Andrea Bill, and David A. Noyce. </w:t>
      </w:r>
      <w:r w:rsidR="00682FE1">
        <w:rPr>
          <w:sz w:val="22"/>
          <w:szCs w:val="20"/>
        </w:rPr>
        <w:t>“</w:t>
      </w:r>
      <w:r w:rsidRPr="004B1CD2">
        <w:rPr>
          <w:sz w:val="22"/>
          <w:szCs w:val="20"/>
        </w:rPr>
        <w:t>High Injury Network: City of Madison, Wisconsin.</w:t>
      </w:r>
      <w:r w:rsidR="00682FE1">
        <w:rPr>
          <w:sz w:val="22"/>
          <w:szCs w:val="20"/>
        </w:rPr>
        <w:t>”</w:t>
      </w:r>
      <w:r w:rsidRPr="004B1CD2">
        <w:rPr>
          <w:sz w:val="22"/>
          <w:szCs w:val="20"/>
        </w:rPr>
        <w:t xml:space="preserve"> International Conference on Transportation and Development 2022, pp. 61-69</w:t>
      </w:r>
      <w:r w:rsidR="001F7BA0">
        <w:rPr>
          <w:sz w:val="22"/>
          <w:szCs w:val="20"/>
        </w:rPr>
        <w:t>,</w:t>
      </w:r>
      <w:r w:rsidRPr="004B1CD2">
        <w:rPr>
          <w:sz w:val="22"/>
          <w:szCs w:val="20"/>
        </w:rPr>
        <w:t xml:space="preserve"> 2022.</w:t>
      </w:r>
    </w:p>
    <w:p w14:paraId="371AA69F" w14:textId="4DED6866" w:rsidR="000269B5" w:rsidRPr="004B1CD2" w:rsidRDefault="000269B5" w:rsidP="00682FE1">
      <w:pPr>
        <w:keepLines/>
        <w:spacing w:after="120"/>
        <w:rPr>
          <w:sz w:val="22"/>
          <w:szCs w:val="20"/>
        </w:rPr>
      </w:pPr>
      <w:r w:rsidRPr="004B1CD2">
        <w:rPr>
          <w:sz w:val="22"/>
          <w:szCs w:val="20"/>
        </w:rPr>
        <w:t xml:space="preserve">Sanders, Rebecca L., and Robert J. Schneider. </w:t>
      </w:r>
      <w:r w:rsidR="001F7BA0">
        <w:rPr>
          <w:sz w:val="22"/>
          <w:szCs w:val="20"/>
        </w:rPr>
        <w:t>“</w:t>
      </w:r>
      <w:r w:rsidR="001F7BA0" w:rsidRPr="001F7BA0">
        <w:rPr>
          <w:sz w:val="22"/>
          <w:szCs w:val="20"/>
        </w:rPr>
        <w:t>An Exploration of Pedestrian Fatalities by Race in the United States</w:t>
      </w:r>
      <w:r w:rsidRPr="004B1CD2">
        <w:rPr>
          <w:sz w:val="22"/>
          <w:szCs w:val="20"/>
        </w:rPr>
        <w:t>.</w:t>
      </w:r>
      <w:r w:rsidR="001F7BA0">
        <w:rPr>
          <w:sz w:val="22"/>
          <w:szCs w:val="20"/>
        </w:rPr>
        <w:t>”</w:t>
      </w:r>
      <w:r w:rsidRPr="004B1CD2">
        <w:rPr>
          <w:sz w:val="22"/>
          <w:szCs w:val="20"/>
        </w:rPr>
        <w:t xml:space="preserve"> </w:t>
      </w:r>
      <w:r w:rsidR="001F7BA0" w:rsidRPr="00026D8F">
        <w:rPr>
          <w:i/>
          <w:iCs/>
          <w:sz w:val="22"/>
          <w:szCs w:val="20"/>
        </w:rPr>
        <w:t>Transportation Research Part D: Transport and Environment</w:t>
      </w:r>
      <w:r w:rsidR="001F7BA0">
        <w:rPr>
          <w:sz w:val="22"/>
          <w:szCs w:val="20"/>
        </w:rPr>
        <w:t>,</w:t>
      </w:r>
      <w:r w:rsidRPr="004B1CD2">
        <w:rPr>
          <w:sz w:val="22"/>
          <w:szCs w:val="20"/>
        </w:rPr>
        <w:t xml:space="preserve"> 107(103298</w:t>
      </w:r>
      <w:r w:rsidR="001F7BA0">
        <w:rPr>
          <w:sz w:val="22"/>
          <w:szCs w:val="20"/>
        </w:rPr>
        <w:t xml:space="preserve">), </w:t>
      </w:r>
      <w:r w:rsidR="001F7BA0" w:rsidRPr="004B1CD2">
        <w:rPr>
          <w:sz w:val="22"/>
          <w:szCs w:val="20"/>
        </w:rPr>
        <w:t>2022</w:t>
      </w:r>
      <w:r w:rsidRPr="004B1CD2">
        <w:rPr>
          <w:sz w:val="22"/>
          <w:szCs w:val="20"/>
        </w:rPr>
        <w:t>.</w:t>
      </w:r>
    </w:p>
    <w:p w14:paraId="47AE0EB2" w14:textId="5011FEEC" w:rsidR="000269B5" w:rsidRPr="004B1CD2" w:rsidRDefault="000269B5" w:rsidP="00682FE1">
      <w:pPr>
        <w:keepLines/>
        <w:spacing w:after="120"/>
        <w:rPr>
          <w:sz w:val="22"/>
          <w:szCs w:val="20"/>
        </w:rPr>
      </w:pPr>
      <w:r w:rsidRPr="004B1CD2">
        <w:rPr>
          <w:sz w:val="22"/>
          <w:szCs w:val="20"/>
        </w:rPr>
        <w:t xml:space="preserve">Schneider, Robert J., Frank R. Proulx, Rebecca L. Sanders, and Hamideh Moayyed. </w:t>
      </w:r>
      <w:r w:rsidR="00844F55">
        <w:rPr>
          <w:sz w:val="22"/>
          <w:szCs w:val="20"/>
        </w:rPr>
        <w:t>“</w:t>
      </w:r>
      <w:r w:rsidR="00844F55" w:rsidRPr="00844F55">
        <w:rPr>
          <w:sz w:val="22"/>
          <w:szCs w:val="20"/>
        </w:rPr>
        <w:t>United States Fatal Pedestrian Crash Hot Spot Locations and Characteristics</w:t>
      </w:r>
      <w:r w:rsidRPr="004B1CD2">
        <w:rPr>
          <w:sz w:val="22"/>
          <w:szCs w:val="20"/>
        </w:rPr>
        <w:t>.</w:t>
      </w:r>
      <w:r w:rsidR="00844F55">
        <w:rPr>
          <w:sz w:val="22"/>
          <w:szCs w:val="20"/>
        </w:rPr>
        <w:t>”</w:t>
      </w:r>
      <w:r w:rsidRPr="004B1CD2">
        <w:rPr>
          <w:sz w:val="22"/>
          <w:szCs w:val="20"/>
        </w:rPr>
        <w:t xml:space="preserve"> </w:t>
      </w:r>
      <w:r w:rsidR="00844F55" w:rsidRPr="00026D8F">
        <w:rPr>
          <w:i/>
          <w:iCs/>
          <w:sz w:val="22"/>
          <w:szCs w:val="20"/>
        </w:rPr>
        <w:t>Journal of Transport and Land Use</w:t>
      </w:r>
      <w:r w:rsidR="00844F55">
        <w:rPr>
          <w:sz w:val="22"/>
          <w:szCs w:val="20"/>
        </w:rPr>
        <w:t>,</w:t>
      </w:r>
      <w:r w:rsidRPr="004B1CD2">
        <w:rPr>
          <w:sz w:val="22"/>
          <w:szCs w:val="20"/>
        </w:rPr>
        <w:t xml:space="preserve"> 14</w:t>
      </w:r>
      <w:r w:rsidR="00DF162E">
        <w:rPr>
          <w:sz w:val="22"/>
          <w:szCs w:val="20"/>
        </w:rPr>
        <w:t>(</w:t>
      </w:r>
      <w:r w:rsidRPr="004B1CD2">
        <w:rPr>
          <w:sz w:val="22"/>
          <w:szCs w:val="20"/>
        </w:rPr>
        <w:t>1</w:t>
      </w:r>
      <w:r w:rsidR="00DF162E">
        <w:rPr>
          <w:sz w:val="22"/>
          <w:szCs w:val="20"/>
        </w:rPr>
        <w:t>)</w:t>
      </w:r>
      <w:r w:rsidRPr="004B1CD2">
        <w:rPr>
          <w:sz w:val="22"/>
          <w:szCs w:val="20"/>
        </w:rPr>
        <w:t>:1-23</w:t>
      </w:r>
      <w:r w:rsidR="00DF162E">
        <w:rPr>
          <w:sz w:val="22"/>
          <w:szCs w:val="20"/>
        </w:rPr>
        <w:t xml:space="preserve">, </w:t>
      </w:r>
      <w:r w:rsidR="00DF162E" w:rsidRPr="004B1CD2">
        <w:rPr>
          <w:sz w:val="22"/>
          <w:szCs w:val="20"/>
        </w:rPr>
        <w:t>2021</w:t>
      </w:r>
      <w:r w:rsidRPr="004B1CD2">
        <w:rPr>
          <w:sz w:val="22"/>
          <w:szCs w:val="20"/>
        </w:rPr>
        <w:t>.</w:t>
      </w:r>
    </w:p>
    <w:sectPr w:rsidR="000269B5" w:rsidRPr="004B1CD2" w:rsidSect="00191D4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5273" w14:textId="77777777" w:rsidR="00AA7C70" w:rsidRDefault="00AA7C70" w:rsidP="00BB0B66">
      <w:r>
        <w:separator/>
      </w:r>
    </w:p>
  </w:endnote>
  <w:endnote w:type="continuationSeparator" w:id="0">
    <w:p w14:paraId="3BA34F60" w14:textId="77777777" w:rsidR="00AA7C70" w:rsidRDefault="00AA7C70" w:rsidP="00BB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276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A548C" w14:textId="7EB42E7D" w:rsidR="00F16AA5" w:rsidRPr="002C4BF5" w:rsidRDefault="00F16AA5" w:rsidP="002C4B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6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B4C0" w14:textId="77777777" w:rsidR="00AA7C70" w:rsidRDefault="00AA7C70" w:rsidP="00BB0B66">
      <w:r>
        <w:separator/>
      </w:r>
    </w:p>
  </w:footnote>
  <w:footnote w:type="continuationSeparator" w:id="0">
    <w:p w14:paraId="0A1B2A1F" w14:textId="77777777" w:rsidR="00AA7C70" w:rsidRDefault="00AA7C70" w:rsidP="00BB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F22"/>
    <w:multiLevelType w:val="hybridMultilevel"/>
    <w:tmpl w:val="751A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E30ED"/>
    <w:multiLevelType w:val="multilevel"/>
    <w:tmpl w:val="4E36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F4E71"/>
    <w:multiLevelType w:val="hybridMultilevel"/>
    <w:tmpl w:val="2150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0786"/>
    <w:multiLevelType w:val="hybridMultilevel"/>
    <w:tmpl w:val="BC6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47FC"/>
    <w:multiLevelType w:val="hybridMultilevel"/>
    <w:tmpl w:val="89CA8DA6"/>
    <w:lvl w:ilvl="0" w:tplc="5BB4A276">
      <w:start w:val="1"/>
      <w:numFmt w:val="bullet"/>
      <w:lvlText w:val="―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D2364"/>
    <w:multiLevelType w:val="hybridMultilevel"/>
    <w:tmpl w:val="BC4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129AD"/>
    <w:multiLevelType w:val="multilevel"/>
    <w:tmpl w:val="18CE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A4DAA"/>
    <w:multiLevelType w:val="multilevel"/>
    <w:tmpl w:val="4C58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253A9"/>
    <w:multiLevelType w:val="hybridMultilevel"/>
    <w:tmpl w:val="A23A2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82BCD"/>
    <w:multiLevelType w:val="hybridMultilevel"/>
    <w:tmpl w:val="2D825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13"/>
    <w:rsid w:val="0000262B"/>
    <w:rsid w:val="00005DC8"/>
    <w:rsid w:val="00016E0D"/>
    <w:rsid w:val="00021C8A"/>
    <w:rsid w:val="00022AF3"/>
    <w:rsid w:val="00022FC9"/>
    <w:rsid w:val="000263F1"/>
    <w:rsid w:val="000269B5"/>
    <w:rsid w:val="00026D8F"/>
    <w:rsid w:val="000418A4"/>
    <w:rsid w:val="000421C5"/>
    <w:rsid w:val="000440CC"/>
    <w:rsid w:val="00047389"/>
    <w:rsid w:val="000570B5"/>
    <w:rsid w:val="00063E1A"/>
    <w:rsid w:val="000663F5"/>
    <w:rsid w:val="00073055"/>
    <w:rsid w:val="00082F41"/>
    <w:rsid w:val="0009428F"/>
    <w:rsid w:val="000960BF"/>
    <w:rsid w:val="000A32A7"/>
    <w:rsid w:val="000B2BB6"/>
    <w:rsid w:val="000B486D"/>
    <w:rsid w:val="000D349D"/>
    <w:rsid w:val="000D6F1E"/>
    <w:rsid w:val="000E1D2F"/>
    <w:rsid w:val="000E4400"/>
    <w:rsid w:val="000E6574"/>
    <w:rsid w:val="000F04D7"/>
    <w:rsid w:val="000F2A6D"/>
    <w:rsid w:val="000F34BF"/>
    <w:rsid w:val="000F705F"/>
    <w:rsid w:val="00112F6D"/>
    <w:rsid w:val="0011408E"/>
    <w:rsid w:val="00115553"/>
    <w:rsid w:val="00115791"/>
    <w:rsid w:val="0013078D"/>
    <w:rsid w:val="001351D3"/>
    <w:rsid w:val="001363A5"/>
    <w:rsid w:val="00136473"/>
    <w:rsid w:val="00136F81"/>
    <w:rsid w:val="00151C7A"/>
    <w:rsid w:val="001524FC"/>
    <w:rsid w:val="001525BB"/>
    <w:rsid w:val="00154B4E"/>
    <w:rsid w:val="00160181"/>
    <w:rsid w:val="001654DC"/>
    <w:rsid w:val="00166304"/>
    <w:rsid w:val="00176303"/>
    <w:rsid w:val="00191D40"/>
    <w:rsid w:val="0019457E"/>
    <w:rsid w:val="001963D4"/>
    <w:rsid w:val="001A262C"/>
    <w:rsid w:val="001B74BC"/>
    <w:rsid w:val="001C0B32"/>
    <w:rsid w:val="001C0E38"/>
    <w:rsid w:val="001C46D1"/>
    <w:rsid w:val="001D1617"/>
    <w:rsid w:val="001F46FE"/>
    <w:rsid w:val="001F63C5"/>
    <w:rsid w:val="001F7BA0"/>
    <w:rsid w:val="002002EA"/>
    <w:rsid w:val="00203382"/>
    <w:rsid w:val="00206592"/>
    <w:rsid w:val="0021517F"/>
    <w:rsid w:val="002238D3"/>
    <w:rsid w:val="00232876"/>
    <w:rsid w:val="0024286A"/>
    <w:rsid w:val="00242BBB"/>
    <w:rsid w:val="002535F0"/>
    <w:rsid w:val="002549A8"/>
    <w:rsid w:val="00261A37"/>
    <w:rsid w:val="00262260"/>
    <w:rsid w:val="00264CFF"/>
    <w:rsid w:val="002707D1"/>
    <w:rsid w:val="0027097D"/>
    <w:rsid w:val="002749A5"/>
    <w:rsid w:val="0027550C"/>
    <w:rsid w:val="002818E1"/>
    <w:rsid w:val="002841D7"/>
    <w:rsid w:val="00295B4D"/>
    <w:rsid w:val="002B0F25"/>
    <w:rsid w:val="002C4720"/>
    <w:rsid w:val="002C4BF5"/>
    <w:rsid w:val="002D0360"/>
    <w:rsid w:val="002D76E6"/>
    <w:rsid w:val="002E561D"/>
    <w:rsid w:val="002F2F60"/>
    <w:rsid w:val="002F418C"/>
    <w:rsid w:val="002F4769"/>
    <w:rsid w:val="002F4F8A"/>
    <w:rsid w:val="00300B8F"/>
    <w:rsid w:val="003154D2"/>
    <w:rsid w:val="0032031F"/>
    <w:rsid w:val="003219BD"/>
    <w:rsid w:val="00347DAB"/>
    <w:rsid w:val="00353513"/>
    <w:rsid w:val="00365A76"/>
    <w:rsid w:val="00372D4B"/>
    <w:rsid w:val="00375BDE"/>
    <w:rsid w:val="0038407B"/>
    <w:rsid w:val="003878F5"/>
    <w:rsid w:val="003A117E"/>
    <w:rsid w:val="003A249E"/>
    <w:rsid w:val="003A6114"/>
    <w:rsid w:val="003B5329"/>
    <w:rsid w:val="003B7DA9"/>
    <w:rsid w:val="003D14CC"/>
    <w:rsid w:val="003D4206"/>
    <w:rsid w:val="003E1991"/>
    <w:rsid w:val="003E4258"/>
    <w:rsid w:val="003F39B2"/>
    <w:rsid w:val="003F5499"/>
    <w:rsid w:val="00401926"/>
    <w:rsid w:val="00403C04"/>
    <w:rsid w:val="00403FF7"/>
    <w:rsid w:val="004131B8"/>
    <w:rsid w:val="00420F96"/>
    <w:rsid w:val="00423067"/>
    <w:rsid w:val="004316B0"/>
    <w:rsid w:val="00433296"/>
    <w:rsid w:val="0044611C"/>
    <w:rsid w:val="0044629D"/>
    <w:rsid w:val="00452208"/>
    <w:rsid w:val="00457387"/>
    <w:rsid w:val="00461413"/>
    <w:rsid w:val="004678DA"/>
    <w:rsid w:val="00471B4F"/>
    <w:rsid w:val="00472938"/>
    <w:rsid w:val="00477F11"/>
    <w:rsid w:val="0049035A"/>
    <w:rsid w:val="00491690"/>
    <w:rsid w:val="004938E6"/>
    <w:rsid w:val="004B1CD2"/>
    <w:rsid w:val="004B5C11"/>
    <w:rsid w:val="004B5CFC"/>
    <w:rsid w:val="004B6165"/>
    <w:rsid w:val="004C10E0"/>
    <w:rsid w:val="004C31F0"/>
    <w:rsid w:val="004C324D"/>
    <w:rsid w:val="004C4105"/>
    <w:rsid w:val="004E2535"/>
    <w:rsid w:val="004E392B"/>
    <w:rsid w:val="004F33D1"/>
    <w:rsid w:val="004F3FF3"/>
    <w:rsid w:val="005002A5"/>
    <w:rsid w:val="00506441"/>
    <w:rsid w:val="0051017D"/>
    <w:rsid w:val="00527204"/>
    <w:rsid w:val="00527A0B"/>
    <w:rsid w:val="00547A6F"/>
    <w:rsid w:val="005515BA"/>
    <w:rsid w:val="00551A76"/>
    <w:rsid w:val="0056629B"/>
    <w:rsid w:val="005668A0"/>
    <w:rsid w:val="005779F0"/>
    <w:rsid w:val="0058117A"/>
    <w:rsid w:val="005820FE"/>
    <w:rsid w:val="00582340"/>
    <w:rsid w:val="005850DB"/>
    <w:rsid w:val="00586DA5"/>
    <w:rsid w:val="005A0AEC"/>
    <w:rsid w:val="005A0E97"/>
    <w:rsid w:val="005A15BB"/>
    <w:rsid w:val="005A3869"/>
    <w:rsid w:val="005A40DF"/>
    <w:rsid w:val="005A57F5"/>
    <w:rsid w:val="005C1DF3"/>
    <w:rsid w:val="005C20B0"/>
    <w:rsid w:val="005E303C"/>
    <w:rsid w:val="005F1444"/>
    <w:rsid w:val="005F2DE9"/>
    <w:rsid w:val="005F3C93"/>
    <w:rsid w:val="005F7860"/>
    <w:rsid w:val="00602C3F"/>
    <w:rsid w:val="006055F9"/>
    <w:rsid w:val="006102F1"/>
    <w:rsid w:val="006266BB"/>
    <w:rsid w:val="00631407"/>
    <w:rsid w:val="006330C3"/>
    <w:rsid w:val="00637C2A"/>
    <w:rsid w:val="00640184"/>
    <w:rsid w:val="006417AA"/>
    <w:rsid w:val="00652FEA"/>
    <w:rsid w:val="006545EA"/>
    <w:rsid w:val="006553DC"/>
    <w:rsid w:val="006608A5"/>
    <w:rsid w:val="00670CF7"/>
    <w:rsid w:val="006710CD"/>
    <w:rsid w:val="00673F85"/>
    <w:rsid w:val="00682FE1"/>
    <w:rsid w:val="0069407B"/>
    <w:rsid w:val="006A2113"/>
    <w:rsid w:val="006A4261"/>
    <w:rsid w:val="006A6F43"/>
    <w:rsid w:val="006B0D10"/>
    <w:rsid w:val="006C22E0"/>
    <w:rsid w:val="006C26AD"/>
    <w:rsid w:val="006C5E52"/>
    <w:rsid w:val="006C7D05"/>
    <w:rsid w:val="006D7077"/>
    <w:rsid w:val="006D7214"/>
    <w:rsid w:val="006D7A20"/>
    <w:rsid w:val="006E55A8"/>
    <w:rsid w:val="006F00A3"/>
    <w:rsid w:val="006F27AD"/>
    <w:rsid w:val="006F71C3"/>
    <w:rsid w:val="006F7B58"/>
    <w:rsid w:val="00706D78"/>
    <w:rsid w:val="007077F3"/>
    <w:rsid w:val="0071367F"/>
    <w:rsid w:val="00720C29"/>
    <w:rsid w:val="00720ED7"/>
    <w:rsid w:val="00722395"/>
    <w:rsid w:val="007261FE"/>
    <w:rsid w:val="00727961"/>
    <w:rsid w:val="007340B9"/>
    <w:rsid w:val="00741ECF"/>
    <w:rsid w:val="0074213C"/>
    <w:rsid w:val="00743DCD"/>
    <w:rsid w:val="007567F0"/>
    <w:rsid w:val="00785E46"/>
    <w:rsid w:val="00787670"/>
    <w:rsid w:val="007A1E45"/>
    <w:rsid w:val="007A5116"/>
    <w:rsid w:val="007A53FA"/>
    <w:rsid w:val="007A6340"/>
    <w:rsid w:val="007B3C8C"/>
    <w:rsid w:val="007F208E"/>
    <w:rsid w:val="007F2480"/>
    <w:rsid w:val="00802CDE"/>
    <w:rsid w:val="008036CD"/>
    <w:rsid w:val="00811F79"/>
    <w:rsid w:val="00813D58"/>
    <w:rsid w:val="008175A0"/>
    <w:rsid w:val="00821DEE"/>
    <w:rsid w:val="0082343B"/>
    <w:rsid w:val="008279DE"/>
    <w:rsid w:val="00833D30"/>
    <w:rsid w:val="00837B0A"/>
    <w:rsid w:val="00841F92"/>
    <w:rsid w:val="0084263D"/>
    <w:rsid w:val="00843908"/>
    <w:rsid w:val="008445AB"/>
    <w:rsid w:val="00844F55"/>
    <w:rsid w:val="00855387"/>
    <w:rsid w:val="008606CC"/>
    <w:rsid w:val="00860AF6"/>
    <w:rsid w:val="00873592"/>
    <w:rsid w:val="00874CCE"/>
    <w:rsid w:val="008B76EE"/>
    <w:rsid w:val="008C7848"/>
    <w:rsid w:val="008D38F0"/>
    <w:rsid w:val="008D3C30"/>
    <w:rsid w:val="008D70C5"/>
    <w:rsid w:val="008E34C6"/>
    <w:rsid w:val="008E5E39"/>
    <w:rsid w:val="008E5E55"/>
    <w:rsid w:val="008E7D3A"/>
    <w:rsid w:val="00904C4D"/>
    <w:rsid w:val="0091371B"/>
    <w:rsid w:val="0092280C"/>
    <w:rsid w:val="0092650F"/>
    <w:rsid w:val="0093377B"/>
    <w:rsid w:val="0094082C"/>
    <w:rsid w:val="00960FAF"/>
    <w:rsid w:val="009662CF"/>
    <w:rsid w:val="0097119B"/>
    <w:rsid w:val="00972B12"/>
    <w:rsid w:val="009735C5"/>
    <w:rsid w:val="0097497B"/>
    <w:rsid w:val="0097716F"/>
    <w:rsid w:val="009827D2"/>
    <w:rsid w:val="00984DF9"/>
    <w:rsid w:val="00985F33"/>
    <w:rsid w:val="0099137A"/>
    <w:rsid w:val="009A0DAA"/>
    <w:rsid w:val="009B05AB"/>
    <w:rsid w:val="009B0BF5"/>
    <w:rsid w:val="009B78A3"/>
    <w:rsid w:val="009C38C9"/>
    <w:rsid w:val="009C4567"/>
    <w:rsid w:val="009E0313"/>
    <w:rsid w:val="009E1167"/>
    <w:rsid w:val="009E11B3"/>
    <w:rsid w:val="009E6075"/>
    <w:rsid w:val="00A00724"/>
    <w:rsid w:val="00A04524"/>
    <w:rsid w:val="00A1108E"/>
    <w:rsid w:val="00A131BF"/>
    <w:rsid w:val="00A176AF"/>
    <w:rsid w:val="00A40283"/>
    <w:rsid w:val="00A47119"/>
    <w:rsid w:val="00A477FD"/>
    <w:rsid w:val="00A54C09"/>
    <w:rsid w:val="00A6675B"/>
    <w:rsid w:val="00A73CE2"/>
    <w:rsid w:val="00A7701E"/>
    <w:rsid w:val="00A95698"/>
    <w:rsid w:val="00AA1BD5"/>
    <w:rsid w:val="00AA7C70"/>
    <w:rsid w:val="00AC4019"/>
    <w:rsid w:val="00AE2F66"/>
    <w:rsid w:val="00AF7E0D"/>
    <w:rsid w:val="00B065E5"/>
    <w:rsid w:val="00B11443"/>
    <w:rsid w:val="00B11768"/>
    <w:rsid w:val="00B1356E"/>
    <w:rsid w:val="00B1416F"/>
    <w:rsid w:val="00B15F93"/>
    <w:rsid w:val="00B161A4"/>
    <w:rsid w:val="00B3097A"/>
    <w:rsid w:val="00B324C6"/>
    <w:rsid w:val="00B40434"/>
    <w:rsid w:val="00B60375"/>
    <w:rsid w:val="00B60BCF"/>
    <w:rsid w:val="00B627D2"/>
    <w:rsid w:val="00B66810"/>
    <w:rsid w:val="00B83072"/>
    <w:rsid w:val="00BB06B6"/>
    <w:rsid w:val="00BB0B66"/>
    <w:rsid w:val="00BB3924"/>
    <w:rsid w:val="00BC0879"/>
    <w:rsid w:val="00BC4839"/>
    <w:rsid w:val="00BC4E13"/>
    <w:rsid w:val="00BC50C2"/>
    <w:rsid w:val="00BC6B0B"/>
    <w:rsid w:val="00BC79D7"/>
    <w:rsid w:val="00BE2211"/>
    <w:rsid w:val="00BE4083"/>
    <w:rsid w:val="00C00B30"/>
    <w:rsid w:val="00C067C9"/>
    <w:rsid w:val="00C07437"/>
    <w:rsid w:val="00C11729"/>
    <w:rsid w:val="00C17399"/>
    <w:rsid w:val="00C30165"/>
    <w:rsid w:val="00C40B5C"/>
    <w:rsid w:val="00C4540C"/>
    <w:rsid w:val="00C520C5"/>
    <w:rsid w:val="00C536CB"/>
    <w:rsid w:val="00C57980"/>
    <w:rsid w:val="00C65032"/>
    <w:rsid w:val="00C80143"/>
    <w:rsid w:val="00C927B7"/>
    <w:rsid w:val="00C94E0C"/>
    <w:rsid w:val="00C9711C"/>
    <w:rsid w:val="00CA3C24"/>
    <w:rsid w:val="00CA660F"/>
    <w:rsid w:val="00CA6F0D"/>
    <w:rsid w:val="00CA7B51"/>
    <w:rsid w:val="00CC248A"/>
    <w:rsid w:val="00CC537F"/>
    <w:rsid w:val="00CD29FB"/>
    <w:rsid w:val="00CD4994"/>
    <w:rsid w:val="00CE1BC3"/>
    <w:rsid w:val="00CF0E61"/>
    <w:rsid w:val="00CF5987"/>
    <w:rsid w:val="00D1655D"/>
    <w:rsid w:val="00D4648F"/>
    <w:rsid w:val="00D557C2"/>
    <w:rsid w:val="00D576C5"/>
    <w:rsid w:val="00D605E2"/>
    <w:rsid w:val="00D613EF"/>
    <w:rsid w:val="00D715D2"/>
    <w:rsid w:val="00D8399F"/>
    <w:rsid w:val="00D916F4"/>
    <w:rsid w:val="00DA1898"/>
    <w:rsid w:val="00DA77B2"/>
    <w:rsid w:val="00DB20A1"/>
    <w:rsid w:val="00DB28E9"/>
    <w:rsid w:val="00DB4427"/>
    <w:rsid w:val="00DB4645"/>
    <w:rsid w:val="00DB749D"/>
    <w:rsid w:val="00DE19A9"/>
    <w:rsid w:val="00DE4AC3"/>
    <w:rsid w:val="00DE56F3"/>
    <w:rsid w:val="00DE5C0F"/>
    <w:rsid w:val="00DF106D"/>
    <w:rsid w:val="00DF162E"/>
    <w:rsid w:val="00DF2E58"/>
    <w:rsid w:val="00E00FB7"/>
    <w:rsid w:val="00E05C4C"/>
    <w:rsid w:val="00E14811"/>
    <w:rsid w:val="00E26737"/>
    <w:rsid w:val="00E539D7"/>
    <w:rsid w:val="00E65394"/>
    <w:rsid w:val="00E6659F"/>
    <w:rsid w:val="00E80AA2"/>
    <w:rsid w:val="00EA4B28"/>
    <w:rsid w:val="00EA5106"/>
    <w:rsid w:val="00EA7145"/>
    <w:rsid w:val="00EB3CE5"/>
    <w:rsid w:val="00EB4DF6"/>
    <w:rsid w:val="00EC313E"/>
    <w:rsid w:val="00ED7FCA"/>
    <w:rsid w:val="00EF09DE"/>
    <w:rsid w:val="00EF1DA6"/>
    <w:rsid w:val="00F001BB"/>
    <w:rsid w:val="00F06988"/>
    <w:rsid w:val="00F16AA5"/>
    <w:rsid w:val="00F2643E"/>
    <w:rsid w:val="00F3615F"/>
    <w:rsid w:val="00F4750E"/>
    <w:rsid w:val="00F50EFA"/>
    <w:rsid w:val="00F511E2"/>
    <w:rsid w:val="00F519DD"/>
    <w:rsid w:val="00F52686"/>
    <w:rsid w:val="00F52BD7"/>
    <w:rsid w:val="00F7224C"/>
    <w:rsid w:val="00F74440"/>
    <w:rsid w:val="00F75D86"/>
    <w:rsid w:val="00F85F96"/>
    <w:rsid w:val="00FA7F18"/>
    <w:rsid w:val="00FC1A0F"/>
    <w:rsid w:val="00FD3AA6"/>
    <w:rsid w:val="00FD3FBC"/>
    <w:rsid w:val="00FD5791"/>
    <w:rsid w:val="00FD65A9"/>
    <w:rsid w:val="00FE7D64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9793"/>
  <w15:docId w15:val="{ACC33935-7327-445B-9FC4-DDDD5F13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AD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083"/>
    <w:pPr>
      <w:keepNext/>
      <w:spacing w:before="6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Heading1"/>
    <w:link w:val="Heading2Char"/>
    <w:uiPriority w:val="9"/>
    <w:qFormat/>
    <w:rsid w:val="00BE4083"/>
    <w:pPr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4083"/>
    <w:rPr>
      <w:rFonts w:ascii="Arial" w:hAnsi="Arial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35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351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361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6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0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4083"/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C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B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B6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0B66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4C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5B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5BA"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6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AA5"/>
    <w:rPr>
      <w:rFonts w:ascii="Times New Roman" w:hAnsi="Times New Roman"/>
      <w:sz w:val="24"/>
    </w:rPr>
  </w:style>
  <w:style w:type="paragraph" w:customStyle="1" w:styleId="Normaltable">
    <w:name w:val="Normal_table"/>
    <w:basedOn w:val="Normal"/>
    <w:link w:val="NormaltableChar"/>
    <w:qFormat/>
    <w:rsid w:val="00F16AA5"/>
    <w:rPr>
      <w:b/>
    </w:rPr>
  </w:style>
  <w:style w:type="character" w:customStyle="1" w:styleId="NormaltableChar">
    <w:name w:val="Normal_table Char"/>
    <w:basedOn w:val="DefaultParagraphFont"/>
    <w:link w:val="Normaltable"/>
    <w:rsid w:val="00F16AA5"/>
    <w:rPr>
      <w:rFonts w:ascii="Times New Roman" w:hAnsi="Times New Roman"/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A0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E5E3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60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375"/>
    <w:rPr>
      <w:rFonts w:ascii="Times New Roman" w:hAnsi="Times New Roman"/>
      <w:sz w:val="24"/>
    </w:rPr>
  </w:style>
  <w:style w:type="paragraph" w:customStyle="1" w:styleId="Heading1guidelines">
    <w:name w:val="Heading 1 (guidelines)"/>
    <w:basedOn w:val="Heading1"/>
    <w:rsid w:val="004E2535"/>
  </w:style>
  <w:style w:type="character" w:customStyle="1" w:styleId="Heading3Char">
    <w:name w:val="Heading 3 Char"/>
    <w:basedOn w:val="DefaultParagraphFont"/>
    <w:link w:val="Heading3"/>
    <w:uiPriority w:val="9"/>
    <w:semiHidden/>
    <w:rsid w:val="00EC31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6141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60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664483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55855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9281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852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771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706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685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EEE4-99B4-4CCF-8B7E-88B7A282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Proposal Template and Guidelines</vt:lpstr>
    </vt:vector>
  </TitlesOfParts>
  <Company>Microsoft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More Standardized Approach to Identify and Understand the High-Injury Network (CTIPS-027)</dc:title>
  <dc:creator/>
  <cp:lastModifiedBy>Nichols, Patrick</cp:lastModifiedBy>
  <cp:revision>65</cp:revision>
  <cp:lastPrinted>2024-01-16T17:30:00Z</cp:lastPrinted>
  <dcterms:created xsi:type="dcterms:W3CDTF">2024-05-24T21:27:00Z</dcterms:created>
  <dcterms:modified xsi:type="dcterms:W3CDTF">2024-08-29T00:35:00Z</dcterms:modified>
</cp:coreProperties>
</file>